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7"/>
        <w:rPr>
          <w:rFonts w:ascii="Times New Roman"/>
          <w:b w:val="0"/>
        </w:rPr>
      </w:pPr>
    </w:p>
    <w:p>
      <w:pPr>
        <w:pStyle w:val="BodyText"/>
        <w:ind w:left="217"/>
      </w:pPr>
      <w:r>
        <w:rPr>
          <w:b w:val="0"/>
          <w:spacing w:val="-27"/>
        </w:rPr>
        <w:t>附件 </w:t>
      </w:r>
      <w:r>
        <w:rPr>
          <w:b w:val="0"/>
        </w:rPr>
        <w:t>1</w:t>
      </w:r>
      <w:r>
        <w:rPr>
          <w:b w:val="0"/>
          <w:spacing w:val="-39"/>
        </w:rPr>
        <w:t> </w:t>
      </w:r>
      <w:r>
        <w:rPr>
          <w:spacing w:val="-1"/>
        </w:rPr>
        <w:t>福建片仔癀健康科技有限公司市场总监薪酬与任期目标约定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"/>
        <w:gridCol w:w="852"/>
        <w:gridCol w:w="3821"/>
        <w:gridCol w:w="3706"/>
        <w:gridCol w:w="4726"/>
      </w:tblGrid>
      <w:tr>
        <w:trPr>
          <w:trHeight w:val="1029" w:hRule="atLeast"/>
        </w:trPr>
        <w:tc>
          <w:tcPr>
            <w:tcW w:w="842" w:type="dxa"/>
          </w:tcPr>
          <w:p>
            <w:pPr>
              <w:pStyle w:val="TableParagraph"/>
              <w:spacing w:line="364" w:lineRule="auto" w:before="71"/>
              <w:ind w:left="199" w:right="188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选聘</w:t>
            </w:r>
            <w:r>
              <w:rPr>
                <w:b/>
                <w:spacing w:val="-5"/>
                <w:sz w:val="22"/>
              </w:rPr>
              <w:t>岗位</w:t>
            </w:r>
          </w:p>
        </w:tc>
        <w:tc>
          <w:tcPr>
            <w:tcW w:w="852" w:type="dxa"/>
          </w:tcPr>
          <w:p>
            <w:pPr>
              <w:pStyle w:val="TableParagraph"/>
              <w:spacing w:line="364" w:lineRule="auto" w:before="71"/>
              <w:ind w:left="204" w:right="193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招聘</w:t>
            </w:r>
            <w:r>
              <w:rPr>
                <w:b/>
                <w:spacing w:val="-5"/>
                <w:sz w:val="22"/>
              </w:rPr>
              <w:t>人数</w:t>
            </w:r>
          </w:p>
        </w:tc>
        <w:tc>
          <w:tcPr>
            <w:tcW w:w="3821" w:type="dxa"/>
          </w:tcPr>
          <w:p>
            <w:pPr>
              <w:pStyle w:val="TableParagraph"/>
              <w:rPr>
                <w:rFonts w:ascii="黑体"/>
                <w:b/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核心职责</w:t>
            </w:r>
          </w:p>
        </w:tc>
        <w:tc>
          <w:tcPr>
            <w:tcW w:w="3706" w:type="dxa"/>
          </w:tcPr>
          <w:p>
            <w:pPr>
              <w:pStyle w:val="TableParagraph"/>
              <w:rPr>
                <w:rFonts w:ascii="黑体"/>
                <w:b/>
                <w:sz w:val="22"/>
              </w:rPr>
            </w:pPr>
          </w:p>
          <w:p>
            <w:pPr>
              <w:pStyle w:val="TableParagraph"/>
              <w:spacing w:before="1"/>
              <w:ind w:left="86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薪酬范围和薪酬结构</w:t>
            </w:r>
          </w:p>
        </w:tc>
        <w:tc>
          <w:tcPr>
            <w:tcW w:w="4726" w:type="dxa"/>
          </w:tcPr>
          <w:p>
            <w:pPr>
              <w:pStyle w:val="TableParagraph"/>
              <w:rPr>
                <w:rFonts w:ascii="黑体"/>
                <w:b/>
                <w:sz w:val="22"/>
              </w:rPr>
            </w:pPr>
          </w:p>
          <w:p>
            <w:pPr>
              <w:pStyle w:val="TableParagraph"/>
              <w:spacing w:before="1"/>
              <w:ind w:left="148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任期经营业绩目标</w:t>
            </w:r>
          </w:p>
        </w:tc>
      </w:tr>
      <w:tr>
        <w:trPr>
          <w:trHeight w:val="6460" w:hRule="atLeast"/>
        </w:trPr>
        <w:tc>
          <w:tcPr>
            <w:tcW w:w="842" w:type="dxa"/>
          </w:tcPr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before="278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333" w:lineRule="auto"/>
              <w:ind w:left="179" w:right="170"/>
              <w:rPr>
                <w:sz w:val="24"/>
              </w:rPr>
            </w:pPr>
            <w:r>
              <w:rPr>
                <w:spacing w:val="-6"/>
                <w:sz w:val="24"/>
              </w:rPr>
              <w:t>市场</w:t>
            </w:r>
            <w:r>
              <w:rPr>
                <w:spacing w:val="-5"/>
                <w:sz w:val="24"/>
              </w:rPr>
              <w:t>总监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before="182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45" w:val="left" w:leader="none"/>
              </w:tabs>
              <w:spacing w:line="230" w:lineRule="auto" w:before="5" w:after="0"/>
              <w:ind w:left="105" w:right="10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战略规划落地：依公司战略，组织制定年度产品及市场战略并推动</w:t>
            </w:r>
            <w:r>
              <w:rPr>
                <w:spacing w:val="-4"/>
                <w:sz w:val="24"/>
              </w:rPr>
              <w:t>落地；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5" w:val="left" w:leader="none"/>
              </w:tabs>
              <w:spacing w:line="230" w:lineRule="auto" w:before="1" w:after="0"/>
              <w:ind w:left="105" w:right="10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营销策略执行：落实年度市场营销策略与计划，统筹各渠道营销方案，打造样板工程并推广；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5" w:val="left" w:leader="none"/>
              </w:tabs>
              <w:spacing w:line="230" w:lineRule="auto" w:before="2" w:after="0"/>
              <w:ind w:left="105" w:right="-2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渠道建设：制定主流渠道营销策</w:t>
            </w:r>
            <w:r>
              <w:rPr>
                <w:spacing w:val="-14"/>
                <w:sz w:val="24"/>
              </w:rPr>
              <w:t>略，建立并维护数字化营销体系等，</w:t>
            </w:r>
            <w:r>
              <w:rPr>
                <w:spacing w:val="-2"/>
                <w:sz w:val="24"/>
              </w:rPr>
              <w:t>探索试点新渠道模式；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5" w:val="left" w:leader="none"/>
              </w:tabs>
              <w:spacing w:line="230" w:lineRule="auto" w:before="1" w:after="0"/>
              <w:ind w:left="105" w:right="-29" w:firstLine="0"/>
              <w:jc w:val="left"/>
              <w:rPr>
                <w:sz w:val="24"/>
              </w:rPr>
            </w:pPr>
            <w:r>
              <w:rPr>
                <w:spacing w:val="-14"/>
                <w:sz w:val="24"/>
              </w:rPr>
              <w:t>产品管理：结合对市场需求挖掘、</w:t>
            </w:r>
            <w:r>
              <w:rPr>
                <w:spacing w:val="-2"/>
                <w:sz w:val="24"/>
              </w:rPr>
              <w:t>产品价值体系构建，开展产品全生命周期管理和竞争策略优化，进行产品优化和新品打造；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5" w:val="left" w:leader="none"/>
              </w:tabs>
              <w:spacing w:line="230" w:lineRule="auto" w:before="2" w:after="0"/>
              <w:ind w:left="105" w:right="10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市场分析：组织市场研究，分析医药行业动态，制定竞争策略；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5" w:val="left" w:leader="none"/>
              </w:tabs>
              <w:spacing w:line="230" w:lineRule="auto" w:before="1" w:after="0"/>
              <w:ind w:left="105" w:right="10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品牌管理：执行品牌策略和营销活动，稳固品牌市场地位；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5" w:val="left" w:leader="none"/>
              </w:tabs>
              <w:spacing w:line="230" w:lineRule="auto" w:before="1" w:after="0"/>
              <w:ind w:left="105" w:right="10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团队管理：负责市场团队建设、日常管理，完善部门组织架构；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5" w:val="left" w:leader="none"/>
              </w:tabs>
              <w:spacing w:line="230" w:lineRule="auto" w:before="1" w:after="0"/>
              <w:ind w:left="105" w:right="10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其他职责：高效完成上级交办的其他重要工作任务。</w:t>
            </w:r>
          </w:p>
        </w:tc>
        <w:tc>
          <w:tcPr>
            <w:tcW w:w="370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48" w:val="left" w:leader="none"/>
              </w:tabs>
              <w:spacing w:line="247" w:lineRule="auto" w:before="201" w:after="0"/>
              <w:ind w:left="108" w:right="96" w:firstLine="0"/>
              <w:jc w:val="both"/>
              <w:rPr>
                <w:sz w:val="24"/>
              </w:rPr>
            </w:pPr>
            <w:r>
              <w:rPr>
                <w:spacing w:val="-16"/>
                <w:sz w:val="24"/>
              </w:rPr>
              <w:t>薪酬范围：年薪 </w:t>
            </w:r>
            <w:r>
              <w:rPr>
                <w:spacing w:val="-6"/>
                <w:sz w:val="24"/>
              </w:rPr>
              <w:t>60</w:t>
            </w:r>
            <w:r>
              <w:rPr>
                <w:spacing w:val="-20"/>
                <w:sz w:val="24"/>
              </w:rPr>
              <w:t> 万元/年</w:t>
            </w:r>
            <w:r>
              <w:rPr>
                <w:spacing w:val="-6"/>
                <w:sz w:val="24"/>
              </w:rPr>
              <w:t>（</w:t>
            </w:r>
            <w:r>
              <w:rPr>
                <w:spacing w:val="-6"/>
                <w:sz w:val="24"/>
              </w:rPr>
              <w:t>税</w:t>
            </w:r>
            <w:r>
              <w:rPr>
                <w:spacing w:val="-8"/>
                <w:sz w:val="24"/>
              </w:rPr>
              <w:t>前，不含任期激励），最终金额结</w:t>
            </w:r>
            <w:r>
              <w:rPr>
                <w:spacing w:val="-2"/>
                <w:sz w:val="24"/>
              </w:rPr>
              <w:t>合考核情况确定；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8" w:val="left" w:leader="none"/>
              </w:tabs>
              <w:spacing w:line="308" w:lineRule="exact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薪酬结构：</w:t>
            </w:r>
          </w:p>
          <w:p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①基础薪酬（40%），</w:t>
            </w:r>
            <w:r>
              <w:rPr>
                <w:spacing w:val="-2"/>
                <w:sz w:val="24"/>
              </w:rPr>
              <w:t>按月发放；</w:t>
            </w:r>
          </w:p>
          <w:p>
            <w:pPr>
              <w:pStyle w:val="TableParagraph"/>
              <w:spacing w:line="244" w:lineRule="auto" w:before="9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②季度绩效（20%），以季度绩效薪酬基数（按年计算）÷12×80%</w:t>
            </w:r>
            <w:r>
              <w:rPr>
                <w:spacing w:val="-13"/>
                <w:sz w:val="24"/>
              </w:rPr>
              <w:t>平均分摊到月预发，每季度第二个</w:t>
            </w:r>
            <w:r>
              <w:rPr>
                <w:spacing w:val="-2"/>
                <w:sz w:val="24"/>
              </w:rPr>
              <w:t>月核算上个季度的季度绩效薪酬，并按差额多退少补；</w:t>
            </w:r>
          </w:p>
          <w:p>
            <w:pPr>
              <w:pStyle w:val="TableParagraph"/>
              <w:spacing w:line="247" w:lineRule="auto" w:before="7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③年度绩效薪酬（40%）：年度绩</w:t>
            </w:r>
            <w:r>
              <w:rPr>
                <w:spacing w:val="-11"/>
                <w:sz w:val="24"/>
              </w:rPr>
              <w:t>效薪酬在次年第一季度发放，年度</w:t>
            </w:r>
            <w:r>
              <w:rPr>
                <w:spacing w:val="-2"/>
                <w:sz w:val="24"/>
              </w:rPr>
              <w:t>绩效薪酬=年度绩效基数×实际年度考核得分÷100；</w:t>
            </w:r>
          </w:p>
          <w:p>
            <w:pPr>
              <w:pStyle w:val="TableParagraph"/>
              <w:spacing w:line="244" w:lineRule="auto"/>
              <w:ind w:left="108" w:right="-15"/>
              <w:rPr>
                <w:sz w:val="24"/>
              </w:rPr>
            </w:pPr>
            <w:r>
              <w:rPr>
                <w:spacing w:val="25"/>
                <w:sz w:val="24"/>
              </w:rPr>
              <w:t>④每年任期激励为每年年薪的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10%。任期激励在任期考核结束后根据任期考核系数核算发放金额，</w:t>
            </w:r>
            <w:r>
              <w:rPr>
                <w:spacing w:val="-14"/>
                <w:sz w:val="24"/>
              </w:rPr>
              <w:t>按照 </w:t>
            </w:r>
            <w:r>
              <w:rPr>
                <w:sz w:val="24"/>
              </w:rPr>
              <w:t>40%、30%、30%的比例逐年发</w:t>
            </w:r>
            <w:r>
              <w:rPr>
                <w:spacing w:val="-6"/>
                <w:sz w:val="24"/>
              </w:rPr>
              <w:t>放。</w:t>
            </w:r>
          </w:p>
        </w:tc>
        <w:tc>
          <w:tcPr>
            <w:tcW w:w="4726" w:type="dxa"/>
          </w:tcPr>
          <w:p>
            <w:pPr>
              <w:pStyle w:val="TableParagraph"/>
              <w:spacing w:before="9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7" w:val="left" w:leader="none"/>
              </w:tabs>
              <w:spacing w:line="247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市场策略：承接公司战略，每年 </w:t>
            </w:r>
            <w:r>
              <w:rPr>
                <w:spacing w:val="-8"/>
                <w:sz w:val="24"/>
              </w:rPr>
              <w:t>3</w:t>
            </w:r>
            <w:r>
              <w:rPr>
                <w:spacing w:val="-12"/>
                <w:sz w:val="24"/>
              </w:rPr>
              <w:t> 月底前</w:t>
            </w:r>
            <w:r>
              <w:rPr>
                <w:spacing w:val="-4"/>
                <w:sz w:val="24"/>
              </w:rPr>
              <w:t>完成《年度商业计划书》，获得公司总办会审批通过，计划执行率 </w:t>
            </w:r>
            <w:r>
              <w:rPr>
                <w:sz w:val="24"/>
              </w:rPr>
              <w:t>70%以上；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7" w:val="left" w:leader="none"/>
              </w:tabs>
              <w:spacing w:line="244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渠道建设：根据公司营销渠道策略，3</w:t>
            </w:r>
            <w:r>
              <w:rPr>
                <w:spacing w:val="-15"/>
                <w:sz w:val="24"/>
              </w:rPr>
              <w:t> 年</w:t>
            </w:r>
            <w:r>
              <w:rPr>
                <w:spacing w:val="-2"/>
                <w:sz w:val="24"/>
              </w:rPr>
              <w:t>聘期内完成数字化营销体系建设；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7" w:val="left" w:leader="none"/>
              </w:tabs>
              <w:spacing w:line="247" w:lineRule="auto" w:before="1" w:after="0"/>
              <w:ind w:left="107" w:right="96" w:firstLine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新品引进：3</w:t>
            </w:r>
            <w:r>
              <w:rPr>
                <w:spacing w:val="-13"/>
                <w:sz w:val="24"/>
              </w:rPr>
              <w:t> 年聘期内完成不少于 </w:t>
            </w:r>
            <w:r>
              <w:rPr>
                <w:spacing w:val="-6"/>
                <w:sz w:val="24"/>
              </w:rPr>
              <w:t>2</w:t>
            </w:r>
            <w:r>
              <w:rPr>
                <w:spacing w:val="-12"/>
                <w:sz w:val="24"/>
              </w:rPr>
              <w:t> 个产</w:t>
            </w:r>
            <w:r>
              <w:rPr>
                <w:spacing w:val="-4"/>
                <w:sz w:val="24"/>
              </w:rPr>
              <w:t>品的引进上市，丰富公司产品线，新品引进</w:t>
            </w:r>
            <w:r>
              <w:rPr>
                <w:spacing w:val="-9"/>
                <w:sz w:val="24"/>
              </w:rPr>
              <w:t>第一年达到公司系列品种营收占比 </w:t>
            </w:r>
            <w:r>
              <w:rPr>
                <w:spacing w:val="29"/>
                <w:sz w:val="24"/>
              </w:rPr>
              <w:t>3%</w:t>
            </w:r>
            <w:r>
              <w:rPr>
                <w:spacing w:val="-33"/>
                <w:sz w:val="24"/>
              </w:rPr>
              <w:t>，年复</w:t>
            </w:r>
            <w:r>
              <w:rPr>
                <w:spacing w:val="-6"/>
                <w:sz w:val="24"/>
              </w:rPr>
              <w:t>合增长率不低于 </w:t>
            </w:r>
            <w:r>
              <w:rPr>
                <w:sz w:val="24"/>
              </w:rPr>
              <w:t>15%；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7" w:val="left" w:leader="none"/>
              </w:tabs>
              <w:spacing w:line="247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年度市场研究报告：每年定期组织市场研</w:t>
            </w:r>
            <w:r>
              <w:rPr>
                <w:spacing w:val="-10"/>
                <w:sz w:val="24"/>
              </w:rPr>
              <w:t>究，形成不少于 </w:t>
            </w:r>
            <w:r>
              <w:rPr>
                <w:spacing w:val="-8"/>
                <w:sz w:val="24"/>
              </w:rPr>
              <w:t>2</w:t>
            </w:r>
            <w:r>
              <w:rPr>
                <w:spacing w:val="-12"/>
                <w:sz w:val="24"/>
              </w:rPr>
              <w:t> 份行业动态报告，信息准</w:t>
            </w:r>
            <w:r>
              <w:rPr>
                <w:spacing w:val="-2"/>
                <w:sz w:val="24"/>
              </w:rPr>
              <w:t>确且无延误，为公司提供决策依据；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7" w:val="left" w:leader="none"/>
              </w:tabs>
              <w:spacing w:line="244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明星产品打造：3</w:t>
            </w:r>
            <w:r>
              <w:rPr>
                <w:spacing w:val="-13"/>
                <w:sz w:val="24"/>
              </w:rPr>
              <w:t> 年聘期内打造 </w:t>
            </w:r>
            <w:r>
              <w:rPr>
                <w:spacing w:val="-6"/>
                <w:sz w:val="24"/>
              </w:rPr>
              <w:t>1-2</w:t>
            </w:r>
            <w:r>
              <w:rPr>
                <w:spacing w:val="-12"/>
                <w:sz w:val="24"/>
              </w:rPr>
              <w:t> 个中</w:t>
            </w:r>
            <w:r>
              <w:rPr>
                <w:spacing w:val="-2"/>
                <w:sz w:val="24"/>
              </w:rPr>
              <w:t>成药相关类目当中份额前五名的产品；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7" w:val="left" w:leader="none"/>
              </w:tabs>
              <w:spacing w:line="23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人才梯队建设：规划人才培养路径，制定技术指导方案，并完成关键人才储备；任期到期时，经理级以上关键人才保留率 </w:t>
            </w:r>
            <w:r>
              <w:rPr>
                <w:spacing w:val="-2"/>
                <w:sz w:val="24"/>
              </w:rPr>
              <w:t>70%以上，同时储备产品经理不少于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> 名。</w:t>
            </w:r>
          </w:p>
        </w:tc>
      </w:tr>
    </w:tbl>
    <w:p>
      <w:pPr>
        <w:spacing w:before="106"/>
        <w:ind w:left="574" w:right="0" w:firstLine="0"/>
        <w:jc w:val="center"/>
        <w:rPr>
          <w:rFonts w:ascii="Times New Roman"/>
          <w:sz w:val="18"/>
        </w:rPr>
      </w:pPr>
      <w:r>
        <w:rPr>
          <w:rFonts w:ascii="Times New Roman"/>
          <w:spacing w:val="-10"/>
          <w:sz w:val="18"/>
        </w:rPr>
        <w:t>1</w:t>
      </w:r>
    </w:p>
    <w:sectPr>
      <w:type w:val="continuous"/>
      <w:pgSz w:w="16840" w:h="11910" w:orient="landscape"/>
      <w:pgMar w:top="1340" w:bottom="280" w:left="12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7" w:hanging="241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0"/>
        <w:w w:val="99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561" w:hanging="24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023" w:hanging="24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484" w:hanging="24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946" w:hanging="24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408" w:hanging="24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869" w:hanging="24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3331" w:hanging="24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3792" w:hanging="241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8" w:hanging="241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0"/>
        <w:w w:val="99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459" w:hanging="24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819" w:hanging="24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178" w:hanging="24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538" w:hanging="24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898" w:hanging="24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57" w:hanging="24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617" w:hanging="24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976" w:hanging="241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5" w:hanging="241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0"/>
        <w:w w:val="99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471" w:hanging="24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842" w:hanging="24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213" w:hanging="24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584" w:hanging="24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955" w:hanging="24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326" w:hanging="24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697" w:hanging="24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3068" w:hanging="241"/>
      </w:pPr>
      <w:rPr>
        <w:rFonts w:hint="default"/>
        <w:lang w:val="en-US" w:eastAsia="zh-CN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b/>
      <w:bCs/>
      <w:sz w:val="32"/>
      <w:szCs w:val="32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2025-09-12T10:29:41Z</dcterms:created>
  <dcterms:modified xsi:type="dcterms:W3CDTF">2025-09-12T10:29:41Z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LastSaved">
    <vt:filetime>2025-09-12T00:00:00Z</vt:filetime>
  </property>
  <property fmtid="{D5CDD505-2E9C-101B-9397-08002B2CF9AE}" pid="4" name="Producer">
    <vt:lpwstr>福昕高级PDF编辑器打印机 版本 2024.2.1.15986</vt:lpwstr>
  </property>
</Properties>
</file>