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sz w:val="36"/>
          <w:szCs w:val="36"/>
        </w:rPr>
      </w:pPr>
      <w:bookmarkStart w:id="0" w:name="_Hlk533062992"/>
      <w:r>
        <w:rPr>
          <w:rFonts w:hint="eastAsia" w:ascii="方正小标宋简体" w:hAnsi="方正小标宋简体" w:eastAsia="方正小标宋简体" w:cs="方正小标宋简体"/>
          <w:b w:val="0"/>
          <w:bCs/>
          <w:sz w:val="36"/>
          <w:szCs w:val="36"/>
        </w:rPr>
        <w:t>漳州片仔癀药业股份有限公司</w:t>
      </w:r>
      <w:bookmarkEnd w:id="0"/>
    </w:p>
    <w:p>
      <w:pPr>
        <w:spacing w:line="500" w:lineRule="exact"/>
        <w:jc w:val="center"/>
        <w:rPr>
          <w:rFonts w:hint="eastAsia" w:ascii="方正小标宋简体" w:hAnsi="方正小标宋简体" w:eastAsia="方正小标宋简体" w:cs="方正小标宋简体"/>
          <w:b w:val="0"/>
          <w:bCs/>
          <w:color w:val="000000"/>
          <w:sz w:val="36"/>
          <w:szCs w:val="36"/>
          <w:lang w:val="en-US" w:eastAsia="zh-CN"/>
        </w:rPr>
      </w:pPr>
      <w:bookmarkStart w:id="1" w:name="_Hlk166683259"/>
      <w:r>
        <w:rPr>
          <w:rStyle w:val="14"/>
          <w:rFonts w:hint="eastAsia" w:ascii="方正小标宋简体" w:hAnsi="方正小标宋简体" w:eastAsia="方正小标宋简体" w:cs="方正小标宋简体"/>
          <w:b w:val="0"/>
          <w:bCs/>
          <w:sz w:val="36"/>
          <w:szCs w:val="36"/>
        </w:rPr>
        <w:t>聘请</w:t>
      </w:r>
      <w:r>
        <w:rPr>
          <w:rFonts w:hint="eastAsia" w:ascii="方正小标宋简体" w:hAnsi="方正小标宋简体" w:eastAsia="方正小标宋简体" w:cs="方正小标宋简体"/>
          <w:b w:val="0"/>
          <w:bCs/>
          <w:sz w:val="36"/>
          <w:szCs w:val="36"/>
        </w:rPr>
        <w:t>投资者关系</w:t>
      </w:r>
      <w:r>
        <w:rPr>
          <w:rFonts w:hint="eastAsia" w:ascii="方正小标宋简体" w:hAnsi="方正小标宋简体" w:eastAsia="方正小标宋简体" w:cs="方正小标宋简体"/>
          <w:b w:val="0"/>
          <w:bCs/>
          <w:sz w:val="36"/>
          <w:szCs w:val="36"/>
          <w:lang w:val="en-US" w:eastAsia="zh-CN"/>
        </w:rPr>
        <w:t>管理服务</w:t>
      </w:r>
      <w:r>
        <w:rPr>
          <w:rStyle w:val="14"/>
          <w:rFonts w:hint="eastAsia" w:ascii="方正小标宋简体" w:hAnsi="方正小标宋简体" w:eastAsia="方正小标宋简体" w:cs="方正小标宋简体"/>
          <w:b w:val="0"/>
          <w:bCs/>
          <w:sz w:val="36"/>
          <w:szCs w:val="36"/>
          <w:lang w:val="en-US" w:eastAsia="zh-CN"/>
        </w:rPr>
        <w:t>机构的</w:t>
      </w:r>
      <w:r>
        <w:rPr>
          <w:rStyle w:val="14"/>
          <w:rFonts w:hint="eastAsia" w:ascii="方正小标宋简体" w:hAnsi="方正小标宋简体" w:eastAsia="方正小标宋简体" w:cs="方正小标宋简体"/>
          <w:b w:val="0"/>
          <w:bCs/>
          <w:sz w:val="36"/>
          <w:szCs w:val="36"/>
        </w:rPr>
        <w:t>比选</w:t>
      </w:r>
      <w:bookmarkEnd w:id="1"/>
      <w:r>
        <w:rPr>
          <w:rStyle w:val="14"/>
          <w:rFonts w:hint="eastAsia" w:ascii="方正小标宋简体" w:hAnsi="方正小标宋简体" w:eastAsia="方正小标宋简体" w:cs="方正小标宋简体"/>
          <w:b w:val="0"/>
          <w:bCs/>
          <w:sz w:val="36"/>
          <w:szCs w:val="36"/>
          <w:lang w:val="en-US" w:eastAsia="zh-CN"/>
        </w:rPr>
        <w:t>文件</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各服务机构：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我司计划通过公开比选的方式，诚邀具备专业资质与丰富经验的投资者关系管理服务机构参与合作，为我司量身定制并全面开展投资者关系管理服务及相关项目。现将本次公开比选相关事项公示如下：</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一、项目概况</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公司名称：漳州片仔癀药业股份有限公司</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公司地点：福建省漳州市芗城区琥珀路1号</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项目名称：</w:t>
      </w:r>
      <w:bookmarkStart w:id="2" w:name="_Hlk166683287"/>
      <w:r>
        <w:rPr>
          <w:rFonts w:hint="eastAsia" w:ascii="仿宋_GB2312" w:hAnsi="仿宋_GB2312" w:eastAsia="仿宋_GB2312" w:cs="仿宋_GB2312"/>
          <w:sz w:val="30"/>
          <w:szCs w:val="30"/>
        </w:rPr>
        <w:t>投资者关系</w:t>
      </w:r>
      <w:r>
        <w:rPr>
          <w:rFonts w:hint="eastAsia" w:ascii="仿宋_GB2312" w:hAnsi="仿宋_GB2312" w:eastAsia="仿宋_GB2312" w:cs="仿宋_GB2312"/>
          <w:sz w:val="30"/>
          <w:szCs w:val="30"/>
          <w:lang w:val="en-US" w:eastAsia="zh-CN"/>
        </w:rPr>
        <w:t>管理服务</w:t>
      </w:r>
      <w:r>
        <w:rPr>
          <w:rFonts w:hint="eastAsia" w:ascii="仿宋_GB2312" w:hAnsi="仿宋_GB2312" w:eastAsia="仿宋_GB2312" w:cs="仿宋_GB2312"/>
          <w:sz w:val="30"/>
          <w:szCs w:val="30"/>
        </w:rPr>
        <w:t>项目</w:t>
      </w:r>
      <w:bookmarkEnd w:id="2"/>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项目时间：</w:t>
      </w:r>
      <w:r>
        <w:rPr>
          <w:rFonts w:hint="eastAsia" w:ascii="仿宋_GB2312" w:hAnsi="仿宋_GB2312" w:eastAsia="仿宋_GB2312" w:cs="仿宋_GB2312"/>
          <w:color w:val="auto"/>
          <w:sz w:val="30"/>
          <w:szCs w:val="30"/>
          <w:lang w:val="en-US" w:eastAsia="zh-CN"/>
        </w:rPr>
        <w:t>自合同生效起一年</w:t>
      </w:r>
    </w:p>
    <w:p>
      <w:pPr>
        <w:pStyle w:val="2"/>
        <w:ind w:firstLine="600" w:firstLineChars="200"/>
        <w:rPr>
          <w:rFonts w:hint="eastAsia"/>
          <w:lang w:val="en-US" w:eastAsia="zh-CN"/>
        </w:rPr>
      </w:pPr>
      <w:r>
        <w:rPr>
          <w:rFonts w:hint="eastAsia" w:ascii="仿宋_GB2312" w:hAnsi="仿宋_GB2312" w:eastAsia="仿宋_GB2312" w:cs="仿宋_GB2312"/>
          <w:color w:val="auto"/>
          <w:sz w:val="30"/>
          <w:szCs w:val="30"/>
          <w:lang w:val="en-US" w:eastAsia="zh-CN"/>
        </w:rPr>
        <w:t>5.项目限价：30万元人民币（含税）</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二、主要服务内容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.根</w:t>
      </w:r>
      <w:r>
        <w:rPr>
          <w:rFonts w:hint="eastAsia" w:ascii="仿宋_GB2312" w:hAnsi="仿宋_GB2312" w:eastAsia="仿宋_GB2312" w:cs="仿宋_GB2312"/>
          <w:color w:val="auto"/>
          <w:sz w:val="30"/>
          <w:szCs w:val="30"/>
          <w:highlight w:val="none"/>
        </w:rPr>
        <w:t>据</w:t>
      </w:r>
      <w:r>
        <w:rPr>
          <w:rFonts w:hint="eastAsia" w:ascii="仿宋_GB2312" w:hAnsi="仿宋_GB2312" w:eastAsia="仿宋_GB2312" w:cs="仿宋_GB2312"/>
          <w:color w:val="auto"/>
          <w:sz w:val="30"/>
          <w:szCs w:val="30"/>
          <w:highlight w:val="none"/>
          <w:lang w:val="en-US" w:eastAsia="zh-CN"/>
        </w:rPr>
        <w:t>基金持仓数据提供投资者</w:t>
      </w:r>
      <w:r>
        <w:rPr>
          <w:rFonts w:hint="eastAsia" w:ascii="仿宋_GB2312" w:hAnsi="仿宋_GB2312" w:eastAsia="仿宋_GB2312" w:cs="仿宋_GB2312"/>
          <w:color w:val="auto"/>
          <w:sz w:val="30"/>
          <w:szCs w:val="30"/>
          <w:highlight w:val="none"/>
        </w:rPr>
        <w:t>分析</w:t>
      </w:r>
      <w:r>
        <w:rPr>
          <w:rFonts w:hint="eastAsia" w:ascii="仿宋_GB2312" w:hAnsi="仿宋_GB2312" w:eastAsia="仿宋_GB2312" w:cs="仿宋_GB2312"/>
          <w:color w:val="auto"/>
          <w:sz w:val="30"/>
          <w:szCs w:val="30"/>
          <w:highlight w:val="none"/>
          <w:lang w:val="en-US" w:eastAsia="zh-CN"/>
        </w:rPr>
        <w:t>服务，包括</w:t>
      </w:r>
      <w:r>
        <w:rPr>
          <w:rFonts w:hint="eastAsia" w:ascii="仿宋_GB2312" w:hAnsi="仿宋_GB2312" w:eastAsia="仿宋_GB2312" w:cs="仿宋_GB2312"/>
          <w:color w:val="auto"/>
          <w:sz w:val="30"/>
          <w:szCs w:val="30"/>
          <w:highlight w:val="none"/>
        </w:rPr>
        <w:t>收集市场数据，编制投资者关系报告</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投资者关系策略性咨询</w:t>
      </w:r>
      <w:r>
        <w:rPr>
          <w:rFonts w:hint="eastAsia" w:ascii="仿宋_GB2312" w:hAnsi="仿宋_GB2312" w:eastAsia="仿宋_GB2312" w:cs="仿宋_GB2312"/>
          <w:color w:val="auto"/>
          <w:sz w:val="30"/>
          <w:szCs w:val="30"/>
          <w:highlight w:val="none"/>
          <w:lang w:val="en-US" w:eastAsia="zh-CN"/>
        </w:rPr>
        <w:t>等</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2.提供</w:t>
      </w:r>
      <w:r>
        <w:rPr>
          <w:rFonts w:hint="eastAsia" w:ascii="仿宋_GB2312" w:hAnsi="仿宋_GB2312" w:eastAsia="仿宋_GB2312" w:cs="仿宋_GB2312"/>
          <w:color w:val="auto"/>
          <w:sz w:val="30"/>
          <w:szCs w:val="30"/>
          <w:highlight w:val="none"/>
        </w:rPr>
        <w:t>常规投资者关系</w:t>
      </w:r>
      <w:r>
        <w:rPr>
          <w:rFonts w:hint="eastAsia" w:ascii="仿宋_GB2312" w:hAnsi="仿宋_GB2312" w:eastAsia="仿宋_GB2312" w:cs="仿宋_GB2312"/>
          <w:color w:val="auto"/>
          <w:sz w:val="30"/>
          <w:szCs w:val="30"/>
          <w:highlight w:val="none"/>
          <w:lang w:val="en-US" w:eastAsia="zh-CN"/>
        </w:rPr>
        <w:t>管理服务</w:t>
      </w:r>
      <w:r>
        <w:rPr>
          <w:rFonts w:hint="eastAsia" w:ascii="仿宋_GB2312" w:hAnsi="仿宋_GB2312" w:eastAsia="仿宋_GB2312" w:cs="仿宋_GB2312"/>
          <w:color w:val="auto"/>
          <w:sz w:val="30"/>
          <w:szCs w:val="30"/>
          <w:highlight w:val="none"/>
        </w:rPr>
        <w:t>，包括年度、半年度业绩说明会的筹备与开展；收集市场数据，编制投资者关系报告；协助公司与投资者、分析师、协会等相关方的沟通</w:t>
      </w:r>
      <w:r>
        <w:rPr>
          <w:rFonts w:hint="eastAsia" w:ascii="仿宋_GB2312" w:hAnsi="仿宋_GB2312" w:eastAsia="仿宋_GB2312" w:cs="仿宋_GB2312"/>
          <w:color w:val="auto"/>
          <w:sz w:val="30"/>
          <w:szCs w:val="30"/>
          <w:highlight w:val="none"/>
          <w:lang w:val="en-US" w:eastAsia="zh-CN"/>
        </w:rPr>
        <w:t>等工作。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3.提供</w:t>
      </w:r>
      <w:r>
        <w:rPr>
          <w:rFonts w:hint="eastAsia" w:ascii="仿宋_GB2312" w:hAnsi="仿宋_GB2312" w:eastAsia="仿宋_GB2312" w:cs="仿宋_GB2312"/>
          <w:color w:val="auto"/>
          <w:sz w:val="30"/>
          <w:szCs w:val="30"/>
          <w:highlight w:val="none"/>
        </w:rPr>
        <w:t>资本市场动态</w:t>
      </w:r>
      <w:r>
        <w:rPr>
          <w:rFonts w:hint="eastAsia" w:ascii="仿宋_GB2312" w:hAnsi="仿宋_GB2312" w:eastAsia="仿宋_GB2312" w:cs="仿宋_GB2312"/>
          <w:color w:val="auto"/>
          <w:sz w:val="30"/>
          <w:szCs w:val="30"/>
          <w:highlight w:val="none"/>
          <w:lang w:val="en-US" w:eastAsia="zh-CN"/>
        </w:rPr>
        <w:t>信息监测服务</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包括</w:t>
      </w:r>
      <w:r>
        <w:rPr>
          <w:rFonts w:hint="eastAsia" w:ascii="仿宋_GB2312" w:hAnsi="仿宋_GB2312" w:eastAsia="仿宋_GB2312" w:cs="仿宋_GB2312"/>
          <w:color w:val="auto"/>
          <w:sz w:val="30"/>
          <w:szCs w:val="30"/>
          <w:highlight w:val="none"/>
        </w:rPr>
        <w:t>公司股价及市场动态监测</w:t>
      </w:r>
      <w:r>
        <w:rPr>
          <w:rFonts w:hint="eastAsia" w:ascii="仿宋_GB2312" w:hAnsi="仿宋_GB2312" w:eastAsia="仿宋_GB2312" w:cs="仿宋_GB2312"/>
          <w:color w:val="auto"/>
          <w:sz w:val="30"/>
          <w:szCs w:val="30"/>
          <w:highlight w:val="none"/>
          <w:lang w:val="en-US" w:eastAsia="zh-CN"/>
        </w:rPr>
        <w:t>等工作</w:t>
      </w:r>
      <w:r>
        <w:rPr>
          <w:rFonts w:hint="eastAsia" w:ascii="仿宋_GB2312" w:hAnsi="仿宋_GB2312" w:eastAsia="仿宋_GB2312" w:cs="仿宋_GB2312"/>
          <w:color w:val="auto"/>
          <w:sz w:val="30"/>
          <w:szCs w:val="30"/>
          <w:highlight w:val="none"/>
        </w:rPr>
        <w:t>（形成日报及周报</w:t>
      </w:r>
      <w:r>
        <w:rPr>
          <w:rFonts w:hint="eastAsia" w:ascii="仿宋_GB2312" w:hAnsi="仿宋_GB2312" w:eastAsia="仿宋_GB2312" w:cs="仿宋_GB2312"/>
          <w:color w:val="auto"/>
          <w:sz w:val="30"/>
          <w:szCs w:val="30"/>
          <w:highlight w:val="none"/>
          <w:lang w:val="en-US" w:eastAsia="zh-CN"/>
        </w:rPr>
        <w:t>等资料</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rPr>
        <w:t>4</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30"/>
          <w:szCs w:val="30"/>
        </w:rPr>
        <w:t>根据公司需求提供其他投资者关系服务。</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kern w:val="0"/>
          <w:sz w:val="30"/>
          <w:szCs w:val="30"/>
          <w:lang w:val="en-US" w:eastAsia="zh-CN"/>
        </w:rPr>
      </w:pPr>
      <w:r>
        <w:rPr>
          <w:rFonts w:hint="eastAsia" w:ascii="仿宋_GB2312" w:hAnsi="仿宋_GB2312" w:eastAsia="仿宋_GB2312" w:cs="仿宋_GB2312"/>
          <w:b/>
          <w:kern w:val="0"/>
          <w:sz w:val="30"/>
          <w:szCs w:val="30"/>
        </w:rPr>
        <w:t>三、参与比选单位资质要求</w:t>
      </w:r>
      <w:r>
        <w:rPr>
          <w:rFonts w:hint="eastAsia" w:ascii="仿宋_GB2312" w:hAnsi="仿宋_GB2312" w:eastAsia="仿宋_GB2312" w:cs="仿宋_GB2312"/>
          <w:b/>
          <w:kern w:val="0"/>
          <w:sz w:val="30"/>
          <w:szCs w:val="30"/>
          <w:lang w:val="en-US" w:eastAsia="zh-CN"/>
        </w:rPr>
        <w:t>和注意事项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cs="仿宋_GB2312"/>
          <w:sz w:val="30"/>
          <w:szCs w:val="30"/>
        </w:rPr>
        <w:t>必须是中国大陆境内合法工商登记注册，具备独立承担民事责任能力，具有独立法人</w:t>
      </w:r>
      <w:r>
        <w:rPr>
          <w:rFonts w:hint="eastAsia" w:ascii="仿宋_GB2312" w:hAnsi="仿宋_GB2312" w:eastAsia="仿宋_GB2312" w:cs="仿宋_GB2312"/>
          <w:color w:val="auto"/>
          <w:sz w:val="30"/>
          <w:szCs w:val="30"/>
          <w:highlight w:val="none"/>
        </w:rPr>
        <w:t>资格的公司，成立时间达5年（含）以上的</w:t>
      </w:r>
      <w:r>
        <w:rPr>
          <w:rFonts w:hint="eastAsia" w:ascii="仿宋_GB2312" w:hAnsi="仿宋_GB2312" w:eastAsia="仿宋_GB2312" w:cs="仿宋_GB2312"/>
          <w:color w:val="auto"/>
          <w:sz w:val="30"/>
          <w:szCs w:val="30"/>
          <w:highlight w:val="none"/>
          <w:lang w:val="en-US" w:eastAsia="zh-CN"/>
        </w:rPr>
        <w:t>证券公司、证券服务机构</w:t>
      </w:r>
      <w:r>
        <w:rPr>
          <w:rFonts w:hint="eastAsia" w:ascii="仿宋_GB2312" w:hAnsi="仿宋_GB2312" w:eastAsia="仿宋_GB2312" w:cs="仿宋_GB2312"/>
          <w:color w:val="auto"/>
          <w:sz w:val="30"/>
          <w:szCs w:val="30"/>
          <w:highlight w:val="none"/>
        </w:rPr>
        <w:t>，提供有效的营业执照复印件加盖单位公章；</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具备丰富的投资者关系管理服务经验，配备专业的团队指导</w:t>
      </w:r>
      <w:r>
        <w:rPr>
          <w:rFonts w:hint="eastAsia" w:ascii="仿宋_GB2312" w:hAnsi="仿宋_GB2312" w:eastAsia="仿宋_GB2312" w:cs="仿宋_GB2312"/>
          <w:color w:val="auto"/>
          <w:sz w:val="30"/>
          <w:szCs w:val="30"/>
          <w:highlight w:val="none"/>
          <w:lang w:val="en-US" w:eastAsia="zh-CN"/>
        </w:rPr>
        <w:t>和对接</w:t>
      </w:r>
      <w:r>
        <w:rPr>
          <w:rFonts w:hint="eastAsia" w:ascii="仿宋_GB2312" w:hAnsi="仿宋_GB2312" w:eastAsia="仿宋_GB2312" w:cs="仿宋_GB2312"/>
          <w:color w:val="auto"/>
          <w:sz w:val="30"/>
          <w:szCs w:val="30"/>
          <w:highlight w:val="none"/>
        </w:rPr>
        <w:t>公司开展业务</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参加比选活动前三年内，</w:t>
      </w:r>
      <w:r>
        <w:rPr>
          <w:rFonts w:hint="eastAsia" w:ascii="仿宋_GB2312" w:hAnsi="仿宋_GB2312" w:eastAsia="仿宋_GB2312" w:cs="仿宋_GB2312"/>
          <w:sz w:val="30"/>
          <w:szCs w:val="30"/>
        </w:rPr>
        <w:t>参选单位</w:t>
      </w:r>
      <w:r>
        <w:rPr>
          <w:rFonts w:hint="eastAsia" w:ascii="仿宋_GB2312" w:hAnsi="仿宋_GB2312" w:eastAsia="仿宋_GB2312" w:cs="仿宋_GB2312"/>
          <w:color w:val="auto"/>
          <w:sz w:val="30"/>
          <w:szCs w:val="30"/>
          <w:highlight w:val="none"/>
        </w:rPr>
        <w:t>或其负责人未因经营活动违法违规被县级以上行政主管部门行政处罚或无弄虚作假骗取比选资格；</w:t>
      </w:r>
      <w:r>
        <w:rPr>
          <w:rFonts w:hint="eastAsia" w:ascii="仿宋_GB2312" w:hAnsi="仿宋_GB2312" w:eastAsia="仿宋_GB2312" w:cs="仿宋_GB2312"/>
          <w:sz w:val="30"/>
          <w:szCs w:val="30"/>
        </w:rPr>
        <w:t>参选单位</w:t>
      </w:r>
      <w:r>
        <w:rPr>
          <w:rFonts w:hint="eastAsia" w:ascii="仿宋_GB2312" w:hAnsi="仿宋_GB2312" w:eastAsia="仿宋_GB2312" w:cs="仿宋_GB2312"/>
          <w:color w:val="auto"/>
          <w:sz w:val="30"/>
          <w:szCs w:val="30"/>
          <w:highlight w:val="none"/>
        </w:rPr>
        <w:t>或其负责人在经营活动中无重大违法违规记录，未被追究刑事责任；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提供的一切材料真实、有效；</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法律、法规、相关规章制度规定的其他条件；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6.能够保守国家秘密和公司商业秘密，维护公司信息安全；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参选单位提交报价时，即视为认可并愿意执行本比选文件所要求的所有内容。</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四、比选文件提交要求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本比选文件中附件一及附件二内容；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参选</w:t>
      </w:r>
      <w:r>
        <w:rPr>
          <w:rFonts w:hint="eastAsia" w:ascii="仿宋_GB2312" w:hAnsi="仿宋_GB2312" w:eastAsia="仿宋_GB2312" w:cs="仿宋_GB2312"/>
          <w:color w:val="auto"/>
          <w:sz w:val="30"/>
          <w:szCs w:val="30"/>
          <w:lang w:val="en-US" w:eastAsia="zh-CN"/>
        </w:rPr>
        <w:t>单位</w:t>
      </w:r>
      <w:r>
        <w:rPr>
          <w:rFonts w:hint="eastAsia" w:ascii="仿宋_GB2312" w:hAnsi="仿宋_GB2312" w:eastAsia="仿宋_GB2312" w:cs="仿宋_GB2312"/>
          <w:color w:val="auto"/>
          <w:sz w:val="30"/>
          <w:szCs w:val="30"/>
        </w:rPr>
        <w:t>资质证明材料；参选</w:t>
      </w:r>
      <w:r>
        <w:rPr>
          <w:rFonts w:hint="eastAsia" w:ascii="仿宋_GB2312" w:hAnsi="仿宋_GB2312" w:eastAsia="仿宋_GB2312" w:cs="仿宋_GB2312"/>
          <w:color w:val="auto"/>
          <w:sz w:val="30"/>
          <w:szCs w:val="30"/>
          <w:lang w:val="en-US" w:eastAsia="zh-CN"/>
        </w:rPr>
        <w:t>单位</w:t>
      </w:r>
      <w:r>
        <w:rPr>
          <w:rFonts w:hint="eastAsia" w:ascii="仿宋_GB2312" w:hAnsi="仿宋_GB2312" w:eastAsia="仿宋_GB2312" w:cs="仿宋_GB2312"/>
          <w:color w:val="auto"/>
          <w:sz w:val="30"/>
          <w:szCs w:val="30"/>
        </w:rPr>
        <w:t>基本情况介绍，包括但不限于公司</w:t>
      </w:r>
      <w:r>
        <w:rPr>
          <w:rFonts w:hint="eastAsia" w:ascii="仿宋_GB2312" w:hAnsi="仿宋_GB2312" w:eastAsia="仿宋_GB2312" w:cs="仿宋_GB2312"/>
          <w:color w:val="auto"/>
          <w:sz w:val="30"/>
          <w:szCs w:val="30"/>
          <w:lang w:val="en-US" w:eastAsia="zh-CN"/>
        </w:rPr>
        <w:t>介绍</w:t>
      </w:r>
      <w:r>
        <w:rPr>
          <w:rFonts w:hint="eastAsia" w:ascii="仿宋_GB2312" w:hAnsi="仿宋_GB2312" w:eastAsia="仿宋_GB2312" w:cs="仿宋_GB2312"/>
          <w:color w:val="auto"/>
          <w:sz w:val="30"/>
          <w:szCs w:val="30"/>
        </w:rPr>
        <w:t>、联系方式等；过往项目清单及项目经验相关证明材料复印件</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项目</w:t>
      </w:r>
      <w:r>
        <w:rPr>
          <w:rFonts w:hint="eastAsia" w:ascii="仿宋_GB2312" w:hAnsi="仿宋_GB2312" w:eastAsia="仿宋_GB2312" w:cs="仿宋_GB2312"/>
          <w:color w:val="auto"/>
          <w:sz w:val="30"/>
          <w:szCs w:val="30"/>
          <w:lang w:val="en-US" w:eastAsia="zh-CN"/>
        </w:rPr>
        <w:t>定制</w:t>
      </w:r>
      <w:r>
        <w:rPr>
          <w:rFonts w:hint="eastAsia" w:ascii="仿宋_GB2312" w:hAnsi="仿宋_GB2312" w:eastAsia="仿宋_GB2312" w:cs="仿宋_GB2312"/>
          <w:color w:val="auto"/>
          <w:sz w:val="30"/>
          <w:szCs w:val="30"/>
        </w:rPr>
        <w:t>服务方案</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包含投资者关系管理服务内容、工作协调联络方案、</w:t>
      </w:r>
      <w:r>
        <w:rPr>
          <w:rFonts w:hint="eastAsia" w:ascii="仿宋_GB2312" w:hAnsi="仿宋_GB2312" w:eastAsia="仿宋_GB2312" w:cs="仿宋_GB2312"/>
          <w:color w:val="auto"/>
          <w:sz w:val="30"/>
          <w:szCs w:val="30"/>
        </w:rPr>
        <w:t>团队</w:t>
      </w:r>
      <w:r>
        <w:rPr>
          <w:rFonts w:hint="eastAsia" w:ascii="仿宋_GB2312" w:hAnsi="仿宋_GB2312" w:eastAsia="仿宋_GB2312" w:cs="仿宋_GB2312"/>
          <w:color w:val="auto"/>
          <w:sz w:val="30"/>
          <w:szCs w:val="30"/>
          <w:lang w:val="en-US" w:eastAsia="zh-CN"/>
        </w:rPr>
        <w:t>专业人员</w:t>
      </w:r>
      <w:r>
        <w:rPr>
          <w:rFonts w:hint="eastAsia" w:ascii="仿宋_GB2312" w:hAnsi="仿宋_GB2312" w:eastAsia="仿宋_GB2312" w:cs="仿宋_GB2312"/>
          <w:color w:val="auto"/>
          <w:sz w:val="30"/>
          <w:szCs w:val="30"/>
        </w:rPr>
        <w:t>配备情况</w:t>
      </w:r>
      <w:r>
        <w:rPr>
          <w:rFonts w:hint="eastAsia" w:ascii="仿宋_GB2312" w:hAnsi="仿宋_GB2312" w:eastAsia="仿宋_GB2312" w:cs="仿宋_GB2312"/>
          <w:color w:val="auto"/>
          <w:sz w:val="30"/>
          <w:szCs w:val="30"/>
          <w:lang w:val="en-US" w:eastAsia="zh-CN"/>
        </w:rPr>
        <w:t>和</w:t>
      </w:r>
      <w:r>
        <w:rPr>
          <w:rFonts w:hint="eastAsia" w:ascii="仿宋_GB2312" w:hAnsi="仿宋_GB2312" w:eastAsia="仿宋_GB2312" w:cs="仿宋_GB2312"/>
          <w:color w:val="auto"/>
          <w:sz w:val="30"/>
          <w:szCs w:val="30"/>
        </w:rPr>
        <w:t>可提供的增值服务内容</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注：参选单位所提供的上述资料需加盖贵公司公章，且需密封、密封处加盖公章，外包装上写明</w:t>
      </w:r>
      <w:r>
        <w:rPr>
          <w:rFonts w:hint="eastAsia" w:ascii="仿宋_GB2312" w:hAnsi="仿宋_GB2312" w:eastAsia="仿宋_GB2312" w:cs="仿宋_GB2312"/>
          <w:color w:val="auto"/>
          <w:sz w:val="30"/>
          <w:szCs w:val="30"/>
        </w:rPr>
        <w:t>参选</w:t>
      </w:r>
      <w:r>
        <w:rPr>
          <w:rFonts w:hint="eastAsia" w:ascii="仿宋_GB2312" w:hAnsi="仿宋_GB2312" w:eastAsia="仿宋_GB2312" w:cs="仿宋_GB2312"/>
          <w:color w:val="auto"/>
          <w:sz w:val="30"/>
          <w:szCs w:val="30"/>
          <w:lang w:val="en-US" w:eastAsia="zh-CN"/>
        </w:rPr>
        <w:t>单位</w:t>
      </w:r>
      <w:r>
        <w:rPr>
          <w:rFonts w:hint="eastAsia" w:ascii="仿宋_GB2312" w:hAnsi="仿宋_GB2312" w:eastAsia="仿宋_GB2312" w:cs="仿宋_GB2312"/>
          <w:sz w:val="30"/>
          <w:szCs w:val="30"/>
        </w:rPr>
        <w:t>的公司名称及参与比选的项目名称，若参选文件未密封则参选文件无效。</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五、文件提交时间及地址</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凡有意参加比选者，请于</w:t>
      </w:r>
      <w:r>
        <w:rPr>
          <w:rFonts w:hint="eastAsia" w:ascii="仿宋_GB2312" w:hAnsi="仿宋_GB2312" w:eastAsia="仿宋_GB2312" w:cs="仿宋_GB2312"/>
          <w:sz w:val="30"/>
          <w:szCs w:val="30"/>
          <w:highlight w:val="none"/>
        </w:rPr>
        <w:t>2025年</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24</w:t>
      </w:r>
      <w:r>
        <w:rPr>
          <w:rFonts w:hint="eastAsia" w:ascii="仿宋_GB2312" w:hAnsi="仿宋_GB2312" w:eastAsia="仿宋_GB2312" w:cs="仿宋_GB2312"/>
          <w:sz w:val="30"/>
          <w:szCs w:val="30"/>
          <w:highlight w:val="none"/>
        </w:rPr>
        <w:t>日1</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3</w:t>
      </w:r>
      <w:bookmarkStart w:id="3" w:name="_GoBack"/>
      <w:bookmarkEnd w:id="3"/>
      <w:r>
        <w:rPr>
          <w:rFonts w:hint="eastAsia" w:ascii="仿宋_GB2312" w:hAnsi="仿宋_GB2312" w:eastAsia="仿宋_GB2312" w:cs="仿宋_GB2312"/>
          <w:sz w:val="30"/>
          <w:szCs w:val="30"/>
          <w:highlight w:val="none"/>
        </w:rPr>
        <w:t>0</w:t>
      </w:r>
      <w:r>
        <w:rPr>
          <w:rFonts w:hint="eastAsia" w:ascii="仿宋_GB2312" w:hAnsi="仿宋_GB2312" w:eastAsia="仿宋_GB2312" w:cs="仿宋_GB2312"/>
          <w:sz w:val="30"/>
          <w:szCs w:val="30"/>
        </w:rPr>
        <w:t>前将比选文件寄送或提交至福建省漳州市芗城区琥珀路1号</w:t>
      </w:r>
      <w:r>
        <w:rPr>
          <w:rFonts w:hint="eastAsia" w:ascii="仿宋_GB2312" w:hAnsi="仿宋_GB2312" w:eastAsia="仿宋_GB2312" w:cs="仿宋_GB2312"/>
          <w:sz w:val="30"/>
          <w:szCs w:val="30"/>
          <w:lang w:val="en-US" w:eastAsia="zh-CN"/>
        </w:rPr>
        <w:t>片仔癀大厦</w:t>
      </w:r>
      <w:r>
        <w:rPr>
          <w:rFonts w:hint="eastAsia" w:ascii="仿宋_GB2312" w:hAnsi="仿宋_GB2312" w:eastAsia="仿宋_GB2312" w:cs="仿宋_GB2312"/>
          <w:sz w:val="30"/>
          <w:szCs w:val="30"/>
        </w:rPr>
        <w:t>企业管理部，签收人员：高先生，联系方式：18005966552（仅接受收件，不接受咨询）；邮编：363000。</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六、业务咨询联系方式</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val="en-US" w:eastAsia="zh-CN"/>
        </w:rPr>
        <w:t>杨</w:t>
      </w:r>
      <w:r>
        <w:rPr>
          <w:rFonts w:hint="eastAsia" w:ascii="仿宋_GB2312" w:hAnsi="仿宋_GB2312" w:eastAsia="仿宋_GB2312" w:cs="仿宋_GB2312"/>
          <w:sz w:val="30"/>
          <w:szCs w:val="30"/>
        </w:rPr>
        <w:t>女士</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联系电话：0596-2301955</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联系邮箱：zqb@zzpzh.com</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七、比选评审及中选原则</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本次评分将采用综合得分比选评审（详见附件三），总得分最高方为中选候选单位，总得分第二名为第二候选单位</w:t>
      </w:r>
      <w:r>
        <w:rPr>
          <w:rFonts w:hint="eastAsia" w:ascii="仿宋_GB2312" w:hAnsi="仿宋_GB2312" w:eastAsia="仿宋_GB2312" w:cs="仿宋_GB2312"/>
          <w:b/>
          <w:sz w:val="30"/>
          <w:szCs w:val="30"/>
        </w:rPr>
        <w:t>（若出现总得分相同的情况，优先选择</w:t>
      </w:r>
      <w:r>
        <w:rPr>
          <w:rFonts w:hint="eastAsia" w:ascii="仿宋_GB2312" w:hAnsi="仿宋_GB2312" w:eastAsia="仿宋_GB2312" w:cs="仿宋_GB2312"/>
          <w:b/>
          <w:sz w:val="30"/>
          <w:szCs w:val="30"/>
          <w:highlight w:val="none"/>
          <w:lang w:val="en-US" w:eastAsia="zh-CN"/>
        </w:rPr>
        <w:t>综合</w:t>
      </w:r>
      <w:r>
        <w:rPr>
          <w:rFonts w:hint="eastAsia" w:ascii="仿宋_GB2312" w:hAnsi="仿宋_GB2312" w:eastAsia="仿宋_GB2312" w:cs="仿宋_GB2312"/>
          <w:b/>
          <w:sz w:val="30"/>
          <w:szCs w:val="30"/>
          <w:highlight w:val="none"/>
        </w:rPr>
        <w:t>咨询服务</w:t>
      </w:r>
      <w:r>
        <w:rPr>
          <w:rFonts w:hint="eastAsia" w:ascii="仿宋_GB2312" w:hAnsi="仿宋_GB2312" w:eastAsia="仿宋_GB2312" w:cs="仿宋_GB2312"/>
          <w:b/>
          <w:sz w:val="30"/>
          <w:szCs w:val="30"/>
          <w:highlight w:val="none"/>
          <w:lang w:val="en-US" w:eastAsia="zh-CN"/>
        </w:rPr>
        <w:t>方案得分最高</w:t>
      </w:r>
      <w:r>
        <w:rPr>
          <w:rFonts w:hint="eastAsia" w:ascii="仿宋_GB2312" w:hAnsi="仿宋_GB2312" w:eastAsia="仿宋_GB2312" w:cs="仿宋_GB2312"/>
          <w:b/>
          <w:sz w:val="30"/>
          <w:szCs w:val="30"/>
        </w:rPr>
        <w:t>的单位）</w:t>
      </w:r>
      <w:r>
        <w:rPr>
          <w:rFonts w:hint="eastAsia" w:ascii="仿宋_GB2312" w:hAnsi="仿宋_GB2312" w:eastAsia="仿宋_GB2312" w:cs="仿宋_GB2312"/>
          <w:sz w:val="30"/>
          <w:szCs w:val="30"/>
        </w:rPr>
        <w:t>。后续与中选候选单位签订合同，双方以比选文件、参选文件为基础，经友好协商对合同内容进一步补充或细化（合同的标的、价款、质量、履行期限应当与比选文件和中选人参选文件的内容一致）；</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若本次比选参选</w:t>
      </w:r>
      <w:r>
        <w:rPr>
          <w:rFonts w:hint="eastAsia" w:ascii="仿宋_GB2312" w:hAnsi="仿宋_GB2312" w:eastAsia="仿宋_GB2312" w:cs="仿宋_GB2312"/>
          <w:b/>
          <w:sz w:val="30"/>
          <w:szCs w:val="30"/>
          <w:lang w:val="en-US" w:eastAsia="zh-CN"/>
        </w:rPr>
        <w:t>单位</w:t>
      </w:r>
      <w:r>
        <w:rPr>
          <w:rFonts w:hint="eastAsia" w:ascii="仿宋_GB2312" w:hAnsi="仿宋_GB2312" w:eastAsia="仿宋_GB2312" w:cs="仿宋_GB2312"/>
          <w:b/>
          <w:sz w:val="30"/>
          <w:szCs w:val="30"/>
        </w:rPr>
        <w:t>不足3家（包括但不限于参选文件无效导致参与的企业不足3家等情形），我司将转为竞争性谈判，以比选文件、参选文件和评审表为基础。</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"mailto:我司将通过邮箱（pzhwmy@zzpzh.com" </w:instrText>
      </w:r>
      <w:r>
        <w:rPr>
          <w:rFonts w:hint="eastAsia" w:ascii="仿宋_GB2312" w:hAnsi="仿宋_GB2312" w:eastAsia="仿宋_GB2312" w:cs="仿宋_GB2312"/>
          <w:sz w:val="30"/>
          <w:szCs w:val="30"/>
        </w:rPr>
        <w:fldChar w:fldCharType="separate"/>
      </w:r>
      <w:r>
        <w:rPr>
          <w:rStyle w:val="11"/>
          <w:rFonts w:hint="eastAsia" w:ascii="仿宋_GB2312" w:hAnsi="仿宋_GB2312" w:eastAsia="仿宋_GB2312" w:cs="仿宋_GB2312"/>
          <w:color w:val="auto"/>
          <w:sz w:val="30"/>
          <w:szCs w:val="30"/>
          <w:u w:val="none"/>
        </w:rPr>
        <w:t>我司将通过邮箱</w:t>
      </w:r>
      <w:r>
        <w:rPr>
          <w:rStyle w:val="11"/>
          <w:rFonts w:hint="eastAsia" w:ascii="仿宋_GB2312" w:hAnsi="仿宋_GB2312" w:eastAsia="仿宋_GB2312" w:cs="仿宋_GB2312"/>
          <w:sz w:val="30"/>
          <w:szCs w:val="30"/>
        </w:rPr>
        <w:t>（zqb@zzpzh.com</w:t>
      </w:r>
      <w:r>
        <w:rPr>
          <w:rStyle w:val="11"/>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向中选候选单位邮箱发送中选通知书。中选候选单位需按中选通知书规定的期限签订合同。若中选候选单位未按照比选文件规定的要求或者其他原因导致在规定期限内合同无法签订的，则确定第二候选单位为中选单位。</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八、其他说明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bCs/>
          <w:color w:val="FF0000"/>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bCs/>
          <w:sz w:val="30"/>
          <w:szCs w:val="30"/>
        </w:rPr>
        <w:t>各参选企业需如实提供参选文件，如提供虚假资料或随意报价者，将被列为不合格参选者</w:t>
      </w:r>
      <w:r>
        <w:rPr>
          <w:rFonts w:hint="eastAsia" w:ascii="仿宋_GB2312" w:hAnsi="仿宋_GB2312" w:eastAsia="仿宋_GB2312" w:cs="仿宋_GB2312"/>
          <w:sz w:val="30"/>
          <w:szCs w:val="30"/>
        </w:rPr>
        <w:t>，不合格的参选者将不予进入评分环节。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参选</w:t>
      </w:r>
      <w:r>
        <w:rPr>
          <w:rFonts w:hint="eastAsia" w:ascii="仿宋_GB2312" w:hAnsi="仿宋_GB2312" w:eastAsia="仿宋_GB2312" w:cs="仿宋_GB2312"/>
          <w:sz w:val="30"/>
          <w:szCs w:val="30"/>
          <w:lang w:val="en-US" w:eastAsia="zh-CN"/>
        </w:rPr>
        <w:t>企业</w:t>
      </w:r>
      <w:r>
        <w:rPr>
          <w:rFonts w:hint="eastAsia" w:ascii="仿宋_GB2312" w:hAnsi="仿宋_GB2312" w:eastAsia="仿宋_GB2312" w:cs="仿宋_GB2312"/>
          <w:sz w:val="30"/>
          <w:szCs w:val="30"/>
        </w:rPr>
        <w:t>比选过程所产生的费用均由参选人自行承担，相关资料恕不退还。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3、本公告的最终解释权归本公司。</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九、附件资料</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一、报价单；</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二、比选承诺函；</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三、比选评分表。</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漳州片仔癀药业股份有限公司</w:t>
      </w:r>
    </w:p>
    <w:p>
      <w:pPr>
        <w:keepNext w:val="0"/>
        <w:keepLines w:val="0"/>
        <w:pageBreakBefore w:val="0"/>
        <w:widowControl w:val="0"/>
        <w:kinsoku/>
        <w:wordWrap/>
        <w:overflowPunct/>
        <w:topLinePunct w:val="0"/>
        <w:autoSpaceDE/>
        <w:autoSpaceDN/>
        <w:bidi w:val="0"/>
        <w:adjustRightInd/>
        <w:snapToGrid/>
        <w:spacing w:line="440" w:lineRule="exact"/>
        <w:ind w:firstLine="5700" w:firstLineChars="1900"/>
        <w:jc w:val="righ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2025年</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14</w:t>
      </w:r>
      <w:r>
        <w:rPr>
          <w:rFonts w:hint="eastAsia" w:ascii="仿宋_GB2312" w:hAnsi="仿宋_GB2312" w:eastAsia="仿宋_GB2312" w:cs="仿宋_GB2312"/>
          <w:color w:val="auto"/>
          <w:sz w:val="30"/>
          <w:szCs w:val="30"/>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heme="minorEastAsia" w:hAnsiTheme="minorEastAsia" w:eastAsiaTheme="minorEastAsia" w:cstheme="minorEastAsia"/>
          <w:b/>
          <w:color w:val="auto"/>
          <w:sz w:val="24"/>
        </w:rPr>
        <w:sectPr>
          <w:footerReference r:id="rId3" w:type="default"/>
          <w:pgSz w:w="11906" w:h="16838"/>
          <w:pgMar w:top="1134" w:right="1803" w:bottom="1134" w:left="1800" w:header="851" w:footer="992" w:gutter="0"/>
          <w:cols w:space="0" w:num="1"/>
          <w:docGrid w:type="lines" w:linePitch="312" w:charSpace="0"/>
        </w:sectPr>
      </w:pPr>
    </w:p>
    <w:p>
      <w:pPr>
        <w:spacing w:line="500" w:lineRule="exact"/>
        <w:rPr>
          <w:rFonts w:ascii="黑体" w:hAnsi="黑体" w:eastAsia="黑体" w:cs="黑体"/>
          <w:b/>
          <w:color w:val="000000"/>
          <w:sz w:val="32"/>
          <w:szCs w:val="32"/>
        </w:rPr>
      </w:pPr>
      <w:r>
        <w:rPr>
          <w:rFonts w:hint="eastAsia" w:ascii="黑体" w:hAnsi="黑体" w:eastAsia="黑体" w:cs="黑体"/>
          <w:b/>
          <w:color w:val="000000"/>
          <w:sz w:val="32"/>
          <w:szCs w:val="32"/>
        </w:rPr>
        <w:t>附件一</w:t>
      </w:r>
    </w:p>
    <w:p>
      <w:pPr>
        <w:spacing w:line="500" w:lineRule="exact"/>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报价单</w:t>
      </w:r>
    </w:p>
    <w:p>
      <w:pPr>
        <w:spacing w:line="500" w:lineRule="exact"/>
        <w:jc w:val="center"/>
        <w:rPr>
          <w:rFonts w:asciiTheme="minorEastAsia" w:hAnsiTheme="minorEastAsia" w:eastAsiaTheme="minorEastAsia" w:cstheme="minorEastAsia"/>
          <w:b/>
          <w:color w:val="000000"/>
          <w:sz w:val="24"/>
        </w:rPr>
      </w:pPr>
    </w:p>
    <w:tbl>
      <w:tblPr>
        <w:tblStyle w:val="12"/>
        <w:tblW w:w="73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3"/>
        <w:gridCol w:w="43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1" w:hRule="atLeast"/>
          <w:jc w:val="center"/>
        </w:trPr>
        <w:tc>
          <w:tcPr>
            <w:tcW w:w="2973" w:type="dxa"/>
            <w:shd w:val="clear" w:color="auto" w:fill="F3F3F3"/>
            <w:vAlign w:val="center"/>
          </w:tcPr>
          <w:p>
            <w:pPr>
              <w:pStyle w:val="9"/>
              <w:spacing w:before="0" w:beforeAutospacing="0" w:after="0" w:afterAutospacing="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报价项</w:t>
            </w:r>
          </w:p>
        </w:tc>
        <w:tc>
          <w:tcPr>
            <w:tcW w:w="4383" w:type="dxa"/>
            <w:shd w:val="clear" w:color="auto" w:fill="F3F3F3"/>
            <w:vAlign w:val="center"/>
          </w:tcPr>
          <w:p>
            <w:pPr>
              <w:pStyle w:val="9"/>
              <w:spacing w:before="0" w:beforeAutospacing="0" w:after="0" w:afterAutospacing="0"/>
              <w:ind w:left="2" w:leftChars="-4" w:hanging="10" w:hangingChars="4"/>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报价金额（人民币万元）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2973" w:type="dxa"/>
            <w:vAlign w:val="center"/>
          </w:tcPr>
          <w:p>
            <w:pPr>
              <w:pStyle w:val="9"/>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投资者关系管理服务</w:t>
            </w:r>
            <w:r>
              <w:rPr>
                <w:rFonts w:hint="eastAsia" w:asciiTheme="minorEastAsia" w:hAnsiTheme="minorEastAsia" w:eastAsiaTheme="minorEastAsia" w:cstheme="minorEastAsia"/>
              </w:rPr>
              <w:t>项目</w:t>
            </w:r>
          </w:p>
        </w:tc>
        <w:tc>
          <w:tcPr>
            <w:tcW w:w="4383" w:type="dxa"/>
            <w:vAlign w:val="center"/>
          </w:tcPr>
          <w:p>
            <w:pPr>
              <w:pStyle w:val="9"/>
              <w:spacing w:before="0" w:beforeAutospacing="0" w:after="0" w:afterAutospacing="0"/>
              <w:ind w:firstLine="480" w:firstLineChars="200"/>
              <w:jc w:val="center"/>
              <w:rPr>
                <w:rFonts w:asciiTheme="minorEastAsia" w:hAnsiTheme="minorEastAsia" w:eastAsiaTheme="minorEastAsia" w:cstheme="minorEastAsia"/>
              </w:rPr>
            </w:pPr>
          </w:p>
        </w:tc>
      </w:tr>
    </w:tbl>
    <w:p>
      <w:pPr>
        <w:spacing w:line="500" w:lineRule="exact"/>
        <w:ind w:firstLine="480" w:firstLineChars="200"/>
        <w:rPr>
          <w:rFonts w:asciiTheme="minorEastAsia" w:hAnsiTheme="minorEastAsia" w:eastAsiaTheme="minorEastAsia" w:cstheme="minorEastAsia"/>
          <w:bCs/>
          <w:color w:val="000000"/>
          <w:sz w:val="24"/>
        </w:rPr>
      </w:pPr>
    </w:p>
    <w:p>
      <w:pPr>
        <w:spacing w:line="500" w:lineRule="exact"/>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说明：</w:t>
      </w:r>
    </w:p>
    <w:p>
      <w:pPr>
        <w:spacing w:line="500" w:lineRule="exact"/>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w:t>
      </w:r>
      <w:r>
        <w:rPr>
          <w:rFonts w:hint="eastAsia" w:asciiTheme="minorEastAsia" w:hAnsiTheme="minorEastAsia" w:eastAsiaTheme="minorEastAsia" w:cstheme="minorEastAsia"/>
          <w:bCs/>
          <w:color w:val="000000"/>
          <w:sz w:val="24"/>
          <w:lang w:val="en-US" w:eastAsia="zh-CN"/>
        </w:rPr>
        <w:t>.</w:t>
      </w:r>
      <w:r>
        <w:rPr>
          <w:rFonts w:hint="eastAsia" w:asciiTheme="minorEastAsia" w:hAnsiTheme="minorEastAsia" w:eastAsiaTheme="minorEastAsia" w:cstheme="minorEastAsia"/>
          <w:bCs/>
          <w:color w:val="000000"/>
          <w:sz w:val="24"/>
        </w:rPr>
        <w:t>上述报价已包含本机构派遣人员执行服务项目工作所发生的交通费、住宿费、餐费、补贴等所有费用。</w:t>
      </w:r>
    </w:p>
    <w:p>
      <w:pPr>
        <w:spacing w:line="500" w:lineRule="exact"/>
        <w:ind w:firstLine="480" w:firstLineChars="20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w:t>
      </w:r>
      <w:r>
        <w:rPr>
          <w:rFonts w:hint="eastAsia" w:asciiTheme="minorEastAsia" w:hAnsiTheme="minorEastAsia" w:eastAsiaTheme="minorEastAsia" w:cstheme="minorEastAsia"/>
          <w:bCs/>
          <w:color w:val="000000"/>
          <w:sz w:val="24"/>
          <w:lang w:val="en-US" w:eastAsia="zh-CN"/>
        </w:rPr>
        <w:t>.</w:t>
      </w:r>
      <w:r>
        <w:rPr>
          <w:rFonts w:hint="eastAsia" w:asciiTheme="minorEastAsia" w:hAnsiTheme="minorEastAsia" w:eastAsiaTheme="minorEastAsia" w:cstheme="minorEastAsia"/>
          <w:bCs/>
          <w:color w:val="000000"/>
          <w:sz w:val="24"/>
        </w:rPr>
        <w:t>上述报价已包含本机构需承担的各项税费，应开具增值税专用发票。</w:t>
      </w:r>
    </w:p>
    <w:p>
      <w:pPr>
        <w:spacing w:line="500" w:lineRule="exact"/>
        <w:ind w:firstLine="482" w:firstLineChars="200"/>
        <w:rPr>
          <w:rFonts w:asciiTheme="minorEastAsia" w:hAnsiTheme="minorEastAsia" w:eastAsiaTheme="minorEastAsia" w:cstheme="minorEastAsia"/>
          <w:b/>
          <w:bCs w:val="0"/>
          <w:color w:val="auto"/>
          <w:sz w:val="24"/>
        </w:rPr>
      </w:pPr>
      <w:r>
        <w:rPr>
          <w:rFonts w:hint="eastAsia" w:asciiTheme="minorEastAsia" w:hAnsiTheme="minorEastAsia" w:eastAsiaTheme="minorEastAsia" w:cstheme="minorEastAsia"/>
          <w:b/>
          <w:bCs w:val="0"/>
          <w:color w:val="auto"/>
          <w:sz w:val="24"/>
        </w:rPr>
        <w:t>3</w:t>
      </w:r>
      <w:r>
        <w:rPr>
          <w:rFonts w:hint="eastAsia" w:asciiTheme="minorEastAsia" w:hAnsiTheme="minorEastAsia" w:eastAsiaTheme="minorEastAsia" w:cstheme="minorEastAsia"/>
          <w:b/>
          <w:bCs w:val="0"/>
          <w:color w:val="auto"/>
          <w:sz w:val="24"/>
          <w:lang w:val="en-US" w:eastAsia="zh-CN"/>
        </w:rPr>
        <w:t>.</w:t>
      </w:r>
      <w:r>
        <w:rPr>
          <w:rFonts w:hint="eastAsia" w:asciiTheme="minorEastAsia" w:hAnsiTheme="minorEastAsia" w:eastAsiaTheme="minorEastAsia" w:cstheme="minorEastAsia"/>
          <w:b/>
          <w:bCs w:val="0"/>
          <w:color w:val="auto"/>
          <w:sz w:val="24"/>
        </w:rPr>
        <w:t>上述报价最高限价为</w:t>
      </w:r>
      <w:r>
        <w:rPr>
          <w:rFonts w:hint="eastAsia" w:asciiTheme="minorEastAsia" w:hAnsiTheme="minorEastAsia" w:eastAsiaTheme="minorEastAsia" w:cstheme="minorEastAsia"/>
          <w:b/>
          <w:bCs w:val="0"/>
          <w:color w:val="auto"/>
          <w:sz w:val="24"/>
          <w:lang w:val="en-US" w:eastAsia="zh-CN"/>
        </w:rPr>
        <w:t>3</w:t>
      </w:r>
      <w:r>
        <w:rPr>
          <w:rFonts w:hint="eastAsia" w:asciiTheme="minorEastAsia" w:hAnsiTheme="minorEastAsia" w:eastAsiaTheme="minorEastAsia" w:cstheme="minorEastAsia"/>
          <w:b/>
          <w:bCs w:val="0"/>
          <w:color w:val="auto"/>
          <w:sz w:val="24"/>
        </w:rPr>
        <w:t>0万元人民币/年（报价超30万元人民币为无效报价）。</w:t>
      </w:r>
    </w:p>
    <w:p>
      <w:pPr>
        <w:spacing w:line="500" w:lineRule="exact"/>
        <w:ind w:firstLine="480" w:firstLineChars="200"/>
        <w:rPr>
          <w:rFonts w:asciiTheme="minorEastAsia" w:hAnsiTheme="minorEastAsia" w:eastAsiaTheme="minorEastAsia" w:cstheme="minorEastAsia"/>
          <w:bCs/>
          <w:color w:val="000000"/>
          <w:sz w:val="24"/>
        </w:rPr>
      </w:pPr>
    </w:p>
    <w:p>
      <w:pPr>
        <w:spacing w:line="500" w:lineRule="exact"/>
        <w:ind w:firstLine="480" w:firstLineChars="200"/>
        <w:rPr>
          <w:rFonts w:asciiTheme="minorEastAsia" w:hAnsiTheme="minorEastAsia" w:eastAsiaTheme="minorEastAsia" w:cstheme="minorEastAsia"/>
          <w:bCs/>
          <w:color w:val="000000"/>
          <w:sz w:val="24"/>
        </w:rPr>
      </w:pPr>
    </w:p>
    <w:p>
      <w:pPr>
        <w:rPr>
          <w:rFonts w:asciiTheme="minorEastAsia" w:hAnsiTheme="minorEastAsia" w:eastAsiaTheme="minorEastAsia" w:cstheme="minorEastAsia"/>
          <w:b/>
          <w:color w:val="000000"/>
          <w:sz w:val="24"/>
        </w:rPr>
      </w:pPr>
    </w:p>
    <w:p>
      <w:pPr>
        <w:spacing w:line="500" w:lineRule="exact"/>
        <w:ind w:firstLine="3931" w:firstLineChars="1638"/>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参选单位（盖章）：</w:t>
      </w:r>
    </w:p>
    <w:p>
      <w:pPr>
        <w:spacing w:line="50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p>
    <w:p>
      <w:pPr>
        <w:rPr>
          <w:rFonts w:asciiTheme="minorEastAsia" w:hAnsiTheme="minorEastAsia" w:eastAsiaTheme="minorEastAsia" w:cstheme="minorEastAsia"/>
          <w:b/>
          <w:color w:val="000000"/>
          <w:sz w:val="24"/>
        </w:rPr>
      </w:pPr>
    </w:p>
    <w:p>
      <w:pP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br w:type="page"/>
      </w:r>
    </w:p>
    <w:p>
      <w:pPr>
        <w:spacing w:line="500" w:lineRule="exact"/>
        <w:rPr>
          <w:rFonts w:ascii="黑体" w:hAnsi="黑体" w:eastAsia="黑体" w:cs="黑体"/>
          <w:b/>
          <w:color w:val="000000"/>
          <w:sz w:val="32"/>
          <w:szCs w:val="32"/>
        </w:rPr>
      </w:pPr>
      <w:r>
        <w:rPr>
          <w:rFonts w:hint="eastAsia" w:ascii="黑体" w:hAnsi="黑体" w:eastAsia="黑体" w:cs="黑体"/>
          <w:b/>
          <w:color w:val="000000"/>
          <w:sz w:val="32"/>
          <w:szCs w:val="32"/>
        </w:rPr>
        <w:t>附件二</w:t>
      </w:r>
    </w:p>
    <w:p>
      <w:pPr>
        <w:spacing w:line="500" w:lineRule="exact"/>
        <w:ind w:firstLine="720" w:firstLineChars="20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比选承诺函</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致：漳州片仔癀药业股份有限公司</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我方</w:t>
      </w:r>
      <w:r>
        <w:rPr>
          <w:rFonts w:hint="eastAsia" w:asciiTheme="minorEastAsia" w:hAnsiTheme="minorEastAsia" w:eastAsiaTheme="minorEastAsia" w:cstheme="minor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（报价单位名称），在此作如下承诺：</w:t>
      </w:r>
    </w:p>
    <w:p>
      <w:pPr>
        <w:keepNext w:val="0"/>
        <w:keepLines w:val="0"/>
        <w:pageBreakBefore w:val="0"/>
        <w:widowControl w:val="0"/>
        <w:kinsoku/>
        <w:wordWrap/>
        <w:overflowPunct/>
        <w:topLinePunct w:val="0"/>
        <w:autoSpaceDE/>
        <w:autoSpaceDN/>
        <w:bidi w:val="0"/>
        <w:adjustRightInd/>
        <w:snapToGrid/>
        <w:spacing w:line="380" w:lineRule="exact"/>
        <w:ind w:left="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完全理解比选文件的一切规定和要求。</w:t>
      </w:r>
    </w:p>
    <w:p>
      <w:pPr>
        <w:keepNext w:val="0"/>
        <w:keepLines w:val="0"/>
        <w:pageBreakBefore w:val="0"/>
        <w:widowControl w:val="0"/>
        <w:kinsoku/>
        <w:wordWrap/>
        <w:overflowPunct/>
        <w:topLinePunct w:val="0"/>
        <w:autoSpaceDE/>
        <w:autoSpaceDN/>
        <w:bidi w:val="0"/>
        <w:adjustRightInd/>
        <w:snapToGrid/>
        <w:spacing w:line="380" w:lineRule="exact"/>
        <w:ind w:left="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报价在有效期内持续有效。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 xml:space="preserve">若中选，我方将按照比选文件及贵公司的具体规定与贵公司签订服务协议，并按要求及时、高质量的提供服务。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在整个比选、报价过程中及结束后，未经贵单位书面同意，我方若有违规、违约行为，我方将承担相应违约责任。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在整个比选、报价过程中及结束后，未经贵公司书面同意，我方保证不向任何第三方泄露本次比选、报价的任何信息、资料及内容。</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报价文件中所有关于报价单位资格的文件、证明、陈述均是真实的、准确的。若有违背，我方将承担由此而产生的一切后果。</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本比选文件符合国家有关监管要求。</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本承诺函与相关服务协议具有同等法律效力。</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我方对在此次比选过程中获取的贵公司的信息和数据负有保密义务，未经贵公司书面允许不得透露给第三方。</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10</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我方公司属经中国大陆境内合法工商登记注册，具备独立承担民事责任能力，具有独立法人资格的公司；具备履行合同所需的设备、人员和专业技术能力。</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我方公司及负责人未曾因经营活动违法违规被县级以上行政主管部门行政处罚或追究其他法律责任等；</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12</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我方及我方相关参与职员与贵司不存在股权等利益关系。</w:t>
      </w:r>
    </w:p>
    <w:p>
      <w:pPr>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13</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不论中选与否，因比选所发生的一切费用，均由我单位自行承担。</w:t>
      </w:r>
    </w:p>
    <w:p>
      <w:pPr>
        <w:keepNext w:val="0"/>
        <w:keepLines w:val="0"/>
        <w:pageBreakBefore w:val="0"/>
        <w:widowControl w:val="0"/>
        <w:kinsoku/>
        <w:wordWrap/>
        <w:overflowPunct/>
        <w:topLinePunct w:val="0"/>
        <w:autoSpaceDE/>
        <w:autoSpaceDN/>
        <w:bidi w:val="0"/>
        <w:adjustRightInd/>
        <w:snapToGrid/>
        <w:spacing w:line="380" w:lineRule="exact"/>
        <w:ind w:firstLine="3931" w:firstLineChars="1638"/>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参选单位（盖章）：</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黑体" w:hAnsi="黑体" w:eastAsia="黑体" w:cs="黑体"/>
          <w:b/>
          <w:color w:val="000000"/>
          <w:sz w:val="32"/>
          <w:szCs w:val="32"/>
        </w:rPr>
      </w:pPr>
      <w:r>
        <w:rPr>
          <w:rFonts w:hint="eastAsia" w:asciiTheme="minorEastAsia" w:hAnsiTheme="minorEastAsia" w:eastAsiaTheme="minorEastAsia" w:cstheme="minorEastAsia"/>
          <w:sz w:val="24"/>
        </w:rPr>
        <w:br w:type="page"/>
      </w:r>
      <w:r>
        <w:rPr>
          <w:rFonts w:hint="eastAsia" w:ascii="黑体" w:hAnsi="黑体" w:eastAsia="黑体" w:cs="黑体"/>
          <w:b/>
          <w:color w:val="000000"/>
          <w:sz w:val="32"/>
          <w:szCs w:val="32"/>
        </w:rPr>
        <w:t>附件三</w:t>
      </w:r>
    </w:p>
    <w:p>
      <w:pPr>
        <w:spacing w:line="500" w:lineRule="exact"/>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lang w:val="en-US" w:eastAsia="zh-CN"/>
        </w:rPr>
        <w:t>投资者关系管理服务</w:t>
      </w:r>
      <w:r>
        <w:rPr>
          <w:rFonts w:hint="eastAsia" w:ascii="方正小标宋简体" w:hAnsi="方正小标宋简体" w:eastAsia="方正小标宋简体" w:cs="方正小标宋简体"/>
          <w:b w:val="0"/>
          <w:bCs/>
          <w:color w:val="000000"/>
          <w:sz w:val="36"/>
          <w:szCs w:val="36"/>
        </w:rPr>
        <w:t>机构比选评分表</w:t>
      </w:r>
    </w:p>
    <w:tbl>
      <w:tblPr>
        <w:tblStyle w:val="12"/>
        <w:tblW w:w="10140"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7470"/>
        <w:gridCol w:w="76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335"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宋体" w:hAnsi="宋体" w:eastAsia="宋体" w:cs="宋体"/>
                <w:b/>
                <w:color w:val="auto"/>
                <w:sz w:val="24"/>
                <w:szCs w:val="24"/>
                <w:vertAlign w:val="baseline"/>
                <w:lang w:val="en-US" w:eastAsia="zh-CN"/>
              </w:rPr>
              <w:t>评分因素</w:t>
            </w:r>
          </w:p>
        </w:tc>
        <w:tc>
          <w:tcPr>
            <w:tcW w:w="7470"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评审内容及标准</w:t>
            </w:r>
          </w:p>
        </w:tc>
        <w:tc>
          <w:tcPr>
            <w:tcW w:w="765"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所占分值</w:t>
            </w:r>
          </w:p>
        </w:tc>
        <w:tc>
          <w:tcPr>
            <w:tcW w:w="570" w:type="dxa"/>
            <w:vAlign w:val="center"/>
          </w:tcPr>
          <w:p>
            <w:pPr>
              <w:spacing w:line="240" w:lineRule="auto"/>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Align w:val="center"/>
          </w:tcPr>
          <w:p>
            <w:pPr>
              <w:spacing w:line="240" w:lineRule="auto"/>
              <w:jc w:val="center"/>
              <w:rPr>
                <w:rFonts w:hint="eastAsia"/>
              </w:rPr>
            </w:pPr>
            <w:r>
              <w:rPr>
                <w:rFonts w:hint="eastAsia"/>
              </w:rPr>
              <w:t>价格评分</w:t>
            </w:r>
          </w:p>
          <w:p>
            <w:pPr>
              <w:pStyle w:val="2"/>
              <w:jc w:val="center"/>
              <w:rPr>
                <w:rFonts w:hint="eastAsia" w:eastAsiaTheme="minorEastAsia"/>
                <w:lang w:val="en-US" w:eastAsia="zh-CN"/>
              </w:rPr>
            </w:pPr>
            <w:r>
              <w:rPr>
                <w:rFonts w:hint="eastAsia" w:asciiTheme="minorEastAsia" w:hAnsiTheme="minorEastAsia" w:eastAsiaTheme="minorEastAsia" w:cstheme="minorEastAsia"/>
                <w:color w:val="000000"/>
                <w:kern w:val="0"/>
                <w:sz w:val="22"/>
                <w:szCs w:val="22"/>
                <w:lang w:val="en-US" w:eastAsia="zh-CN" w:bidi="ar"/>
              </w:rPr>
              <w:t>（20分）</w:t>
            </w: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1.根据</w:t>
            </w:r>
            <w:r>
              <w:rPr>
                <w:rFonts w:hint="eastAsia" w:asciiTheme="minorEastAsia" w:hAnsiTheme="minorEastAsia" w:eastAsiaTheme="minorEastAsia" w:cstheme="minorEastAsia"/>
                <w:color w:val="000000"/>
                <w:sz w:val="22"/>
                <w:szCs w:val="22"/>
                <w:lang w:eastAsia="zh-CN"/>
              </w:rPr>
              <w:t>参选单位</w:t>
            </w:r>
            <w:r>
              <w:rPr>
                <w:rFonts w:hint="eastAsia" w:asciiTheme="minorEastAsia" w:hAnsiTheme="minorEastAsia" w:eastAsiaTheme="minorEastAsia" w:cstheme="minorEastAsia"/>
                <w:color w:val="000000"/>
                <w:sz w:val="22"/>
                <w:szCs w:val="22"/>
              </w:rPr>
              <w:t>提交的【附件一】中所报总费用测算基准价（保留2位小数）：</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去除有效参选人报价中最低报价后，以其余有效参选人报价的平均值作为基准价； </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2.报价得分评分规则如下：</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按照所报总费用每高于基准价1%（含以内）扣0.5分，每低于基准价1%（含以内）扣0.3分，计算</w:t>
            </w:r>
            <w:r>
              <w:rPr>
                <w:rFonts w:hint="eastAsia" w:asciiTheme="minorEastAsia" w:hAnsiTheme="minorEastAsia" w:eastAsiaTheme="minorEastAsia" w:cstheme="minorEastAsia"/>
                <w:color w:val="000000"/>
                <w:sz w:val="22"/>
                <w:szCs w:val="22"/>
                <w:lang w:eastAsia="zh-CN"/>
              </w:rPr>
              <w:t>参选单位</w:t>
            </w:r>
            <w:r>
              <w:rPr>
                <w:rFonts w:hint="eastAsia" w:asciiTheme="minorEastAsia" w:hAnsiTheme="minorEastAsia" w:eastAsiaTheme="minorEastAsia" w:cstheme="minorEastAsia"/>
                <w:color w:val="000000"/>
                <w:sz w:val="22"/>
                <w:szCs w:val="22"/>
              </w:rPr>
              <w:t>的费用得分（四舍五入保留两位小数点）。</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注：</w:t>
            </w:r>
            <w:r>
              <w:rPr>
                <w:rFonts w:hint="eastAsia" w:asciiTheme="minorEastAsia" w:hAnsiTheme="minorEastAsia" w:eastAsiaTheme="minorEastAsia" w:cstheme="minorEastAsia"/>
                <w:color w:val="000000"/>
                <w:sz w:val="22"/>
                <w:szCs w:val="22"/>
                <w:lang w:val="en-US" w:eastAsia="zh-CN"/>
              </w:rPr>
              <w:t>基础分20分；</w:t>
            </w:r>
            <w:r>
              <w:rPr>
                <w:rFonts w:hint="eastAsia" w:asciiTheme="minorEastAsia" w:hAnsiTheme="minorEastAsia" w:eastAsiaTheme="minorEastAsia" w:cstheme="minorEastAsia"/>
                <w:color w:val="000000"/>
                <w:sz w:val="22"/>
                <w:szCs w:val="22"/>
              </w:rPr>
              <w:t>如遇最终分数为负数，则该项分数按0分计算。</w:t>
            </w:r>
          </w:p>
        </w:tc>
        <w:tc>
          <w:tcPr>
            <w:tcW w:w="765" w:type="dxa"/>
            <w:vAlign w:val="center"/>
          </w:tcPr>
          <w:p>
            <w:pPr>
              <w:spacing w:line="240" w:lineRule="auto"/>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2</w:t>
            </w:r>
            <w:r>
              <w:rPr>
                <w:rFonts w:hint="eastAsia" w:asciiTheme="minorEastAsia" w:hAnsiTheme="minorEastAsia" w:eastAsiaTheme="minorEastAsia" w:cstheme="minorEastAsia"/>
                <w:color w:val="000000"/>
                <w:sz w:val="22"/>
                <w:szCs w:val="22"/>
              </w:rPr>
              <w:t>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Merge w:val="restart"/>
            <w:vAlign w:val="center"/>
          </w:tcPr>
          <w:p>
            <w:pPr>
              <w:spacing w:line="240" w:lineRule="auto"/>
              <w:jc w:val="center"/>
              <w:rPr>
                <w:rFonts w:hint="eastAsia"/>
                <w:lang w:val="en-US" w:eastAsia="zh-CN"/>
              </w:rPr>
            </w:pPr>
            <w:r>
              <w:rPr>
                <w:rFonts w:hint="eastAsia"/>
                <w:lang w:val="en-US" w:eastAsia="zh-CN"/>
              </w:rPr>
              <w:t>企业综合实力</w:t>
            </w:r>
          </w:p>
          <w:p>
            <w:pPr>
              <w:pStyle w:val="2"/>
              <w:jc w:val="center"/>
              <w:rPr>
                <w:rFonts w:hint="eastAsia"/>
                <w:lang w:val="en-US" w:eastAsia="zh-CN"/>
              </w:rPr>
            </w:pPr>
            <w:r>
              <w:rPr>
                <w:rFonts w:hint="eastAsia" w:asciiTheme="minorEastAsia" w:hAnsiTheme="minorEastAsia" w:eastAsiaTheme="minorEastAsia" w:cstheme="minorEastAsia"/>
                <w:color w:val="000000"/>
                <w:kern w:val="0"/>
                <w:sz w:val="22"/>
                <w:szCs w:val="22"/>
                <w:lang w:val="en-US" w:eastAsia="zh-CN" w:bidi="ar"/>
              </w:rPr>
              <w:t>（40分）</w:t>
            </w: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1.提供证明：</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A.提供</w:t>
            </w:r>
            <w:r>
              <w:rPr>
                <w:rFonts w:hint="eastAsia" w:asciiTheme="minorEastAsia" w:hAnsiTheme="minorEastAsia" w:eastAsiaTheme="minorEastAsia" w:cstheme="minorEastAsia"/>
                <w:color w:val="000000"/>
                <w:sz w:val="22"/>
                <w:szCs w:val="22"/>
              </w:rPr>
              <w:t>经营证券业务许可证</w:t>
            </w:r>
            <w:r>
              <w:rPr>
                <w:rFonts w:hint="eastAsia" w:asciiTheme="minorEastAsia" w:hAnsiTheme="minorEastAsia" w:eastAsiaTheme="minorEastAsia" w:cstheme="minorEastAsia"/>
                <w:color w:val="000000"/>
                <w:sz w:val="22"/>
                <w:szCs w:val="22"/>
                <w:lang w:val="en-US" w:eastAsia="zh-CN"/>
              </w:rPr>
              <w:t>，得20分；</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B.未提供</w:t>
            </w:r>
            <w:r>
              <w:rPr>
                <w:rFonts w:hint="eastAsia" w:asciiTheme="minorEastAsia" w:hAnsiTheme="minorEastAsia" w:eastAsiaTheme="minorEastAsia" w:cstheme="minorEastAsia"/>
                <w:color w:val="000000"/>
                <w:sz w:val="22"/>
                <w:szCs w:val="22"/>
              </w:rPr>
              <w:t>经营证券业务许可证</w:t>
            </w:r>
            <w:r>
              <w:rPr>
                <w:rFonts w:hint="eastAsia" w:asciiTheme="minorEastAsia" w:hAnsiTheme="minorEastAsia" w:eastAsiaTheme="minorEastAsia" w:cstheme="minorEastAsia"/>
                <w:color w:val="000000"/>
                <w:sz w:val="22"/>
                <w:szCs w:val="22"/>
                <w:lang w:val="en-US" w:eastAsia="zh-CN"/>
              </w:rPr>
              <w:t>的，得0分。</w:t>
            </w:r>
          </w:p>
        </w:tc>
        <w:tc>
          <w:tcPr>
            <w:tcW w:w="765" w:type="dxa"/>
            <w:vAlign w:val="center"/>
          </w:tcPr>
          <w:p>
            <w:pPr>
              <w:spacing w:line="240" w:lineRule="auto"/>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Merge w:val="continue"/>
            <w:vAlign w:val="center"/>
          </w:tcPr>
          <w:p>
            <w:pPr>
              <w:spacing w:line="240" w:lineRule="auto"/>
              <w:jc w:val="center"/>
              <w:rPr>
                <w:rFonts w:hint="eastAsia" w:asciiTheme="minorEastAsia" w:hAnsiTheme="minorEastAsia" w:eastAsiaTheme="minorEastAsia" w:cstheme="minorEastAsia"/>
                <w:color w:val="000000"/>
                <w:kern w:val="0"/>
                <w:sz w:val="22"/>
                <w:szCs w:val="22"/>
                <w:lang w:val="en-US" w:eastAsia="zh-CN" w:bidi="ar"/>
              </w:rPr>
            </w:pP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参选单位提供在2024年9月~2025年9月期间服务过上市公司的合作合同（与投资者关系管理服务相关，需体现服务内容或服务条款）（a.请提供盖章版合同，可根据需要脱敏隐去合同细节条款；b.同家合作方只计一次）。计分方式：每家合作方得4分，最高得20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Merge w:val="restart"/>
            <w:vAlign w:val="center"/>
          </w:tcPr>
          <w:p>
            <w:pPr>
              <w:spacing w:line="240" w:lineRule="auto"/>
              <w:jc w:val="center"/>
              <w:rPr>
                <w:rFonts w:hint="eastAsia"/>
              </w:rPr>
            </w:pPr>
            <w:r>
              <w:rPr>
                <w:rFonts w:hint="eastAsia"/>
              </w:rPr>
              <w:t>项目服务方案</w:t>
            </w:r>
          </w:p>
          <w:p>
            <w:pPr>
              <w:pStyle w:val="2"/>
              <w:jc w:val="center"/>
              <w:rPr>
                <w:rFonts w:hint="eastAsia" w:eastAsiaTheme="minorEastAsia"/>
                <w:lang w:val="en-US" w:eastAsia="zh-CN"/>
              </w:rPr>
            </w:pPr>
            <w:r>
              <w:rPr>
                <w:rFonts w:hint="eastAsia" w:asciiTheme="minorEastAsia" w:hAnsiTheme="minorEastAsia" w:eastAsiaTheme="minorEastAsia" w:cstheme="minorEastAsia"/>
                <w:color w:val="000000"/>
                <w:sz w:val="22"/>
                <w:szCs w:val="22"/>
                <w:lang w:val="en-US" w:eastAsia="zh-CN"/>
              </w:rPr>
              <w:t>（40分）</w:t>
            </w: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根据</w:t>
            </w:r>
            <w:r>
              <w:rPr>
                <w:rFonts w:hint="eastAsia" w:asciiTheme="minorEastAsia" w:hAnsiTheme="minorEastAsia" w:eastAsiaTheme="minorEastAsia" w:cstheme="minorEastAsia"/>
                <w:color w:val="000000"/>
                <w:sz w:val="22"/>
                <w:szCs w:val="22"/>
                <w:lang w:val="en-US" w:eastAsia="zh-CN"/>
              </w:rPr>
              <w:t>投资者关系管理服务</w:t>
            </w:r>
            <w:r>
              <w:rPr>
                <w:rFonts w:hint="eastAsia" w:asciiTheme="minorEastAsia" w:hAnsiTheme="minorEastAsia" w:eastAsiaTheme="minorEastAsia" w:cstheme="minorEastAsia"/>
                <w:color w:val="000000"/>
                <w:sz w:val="22"/>
                <w:szCs w:val="22"/>
              </w:rPr>
              <w:t>内容，阐述在该等服务内容方面的优势及经验，并提出切实可行的工作方案和措施，以及质量保证、响应速度等承诺。</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参选单位</w:t>
            </w:r>
            <w:r>
              <w:rPr>
                <w:rFonts w:hint="eastAsia" w:asciiTheme="minorEastAsia" w:hAnsiTheme="minorEastAsia" w:eastAsiaTheme="minorEastAsia" w:cstheme="minorEastAsia"/>
                <w:color w:val="000000"/>
                <w:sz w:val="22"/>
                <w:szCs w:val="22"/>
              </w:rPr>
              <w:t>对项目要求理解透彻，根据服务内容及服务要求提供完整服务方案的，方案措施优秀，内容完整合理可操作性强的得</w:t>
            </w:r>
            <w:r>
              <w:rPr>
                <w:rFonts w:hint="eastAsia" w:asciiTheme="minorEastAsia" w:hAnsiTheme="minorEastAsia" w:eastAsiaTheme="minorEastAsia" w:cstheme="minorEastAsia"/>
                <w:color w:val="000000"/>
                <w:sz w:val="22"/>
                <w:szCs w:val="22"/>
                <w:lang w:val="en-US" w:eastAsia="zh-CN"/>
              </w:rPr>
              <w:t>20</w:t>
            </w:r>
            <w:r>
              <w:rPr>
                <w:rFonts w:hint="eastAsia" w:asciiTheme="minorEastAsia" w:hAnsiTheme="minorEastAsia" w:eastAsiaTheme="minorEastAsia" w:cstheme="minorEastAsia"/>
                <w:color w:val="000000"/>
                <w:sz w:val="22"/>
                <w:szCs w:val="22"/>
              </w:rPr>
              <w:t>分；方案</w:t>
            </w:r>
            <w:r>
              <w:rPr>
                <w:rFonts w:hint="eastAsia" w:asciiTheme="minorEastAsia" w:hAnsiTheme="minorEastAsia" w:eastAsiaTheme="minorEastAsia" w:cstheme="minorEastAsia"/>
                <w:color w:val="000000"/>
                <w:sz w:val="22"/>
                <w:szCs w:val="22"/>
                <w:lang w:val="en-US" w:eastAsia="zh-CN"/>
              </w:rPr>
              <w:t>措施</w:t>
            </w:r>
            <w:r>
              <w:rPr>
                <w:rFonts w:hint="eastAsia" w:asciiTheme="minorEastAsia" w:hAnsiTheme="minorEastAsia" w:eastAsiaTheme="minorEastAsia" w:cstheme="minorEastAsia"/>
                <w:color w:val="000000"/>
                <w:sz w:val="22"/>
                <w:szCs w:val="22"/>
              </w:rPr>
              <w:t>基本完善，具有一定可行性的得</w:t>
            </w:r>
            <w:r>
              <w:rPr>
                <w:rFonts w:hint="eastAsia" w:asciiTheme="minorEastAsia" w:hAnsiTheme="minorEastAsia" w:eastAsiaTheme="minorEastAsia" w:cstheme="minorEastAsia"/>
                <w:color w:val="000000"/>
                <w:sz w:val="22"/>
                <w:szCs w:val="22"/>
                <w:lang w:val="en-US" w:eastAsia="zh-CN"/>
              </w:rPr>
              <w:t>10</w:t>
            </w:r>
            <w:r>
              <w:rPr>
                <w:rFonts w:hint="eastAsia" w:asciiTheme="minorEastAsia" w:hAnsiTheme="minorEastAsia" w:eastAsiaTheme="minorEastAsia" w:cstheme="minorEastAsia"/>
                <w:color w:val="000000"/>
                <w:sz w:val="22"/>
                <w:szCs w:val="22"/>
              </w:rPr>
              <w:t>分</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rPr>
              <w:t>方案</w:t>
            </w:r>
            <w:r>
              <w:rPr>
                <w:rFonts w:hint="eastAsia" w:asciiTheme="minorEastAsia" w:hAnsiTheme="minorEastAsia" w:eastAsiaTheme="minorEastAsia" w:cstheme="minorEastAsia"/>
                <w:color w:val="000000"/>
                <w:sz w:val="22"/>
                <w:szCs w:val="22"/>
                <w:lang w:val="en-US" w:eastAsia="zh-CN"/>
              </w:rPr>
              <w:t>措施一般的得5分</w:t>
            </w:r>
            <w:r>
              <w:rPr>
                <w:rFonts w:hint="eastAsia" w:asciiTheme="minorEastAsia" w:hAnsiTheme="minorEastAsia" w:eastAsiaTheme="minorEastAsia" w:cstheme="minorEastAsia"/>
                <w:color w:val="000000"/>
                <w:sz w:val="22"/>
                <w:szCs w:val="22"/>
              </w:rPr>
              <w:t>；否则得</w:t>
            </w:r>
            <w:r>
              <w:rPr>
                <w:rFonts w:hint="eastAsia" w:asciiTheme="minorEastAsia" w:hAnsiTheme="minorEastAsia" w:eastAsiaTheme="minorEastAsia" w:cstheme="minorEastAsia"/>
                <w:color w:val="000000"/>
                <w:sz w:val="22"/>
                <w:szCs w:val="22"/>
                <w:lang w:val="en-US" w:eastAsia="zh-CN"/>
              </w:rPr>
              <w:t>0</w:t>
            </w:r>
            <w:r>
              <w:rPr>
                <w:rFonts w:hint="eastAsia" w:asciiTheme="minorEastAsia" w:hAnsiTheme="minorEastAsia" w:eastAsiaTheme="minorEastAsia" w:cstheme="minorEastAsia"/>
                <w:color w:val="000000"/>
                <w:sz w:val="22"/>
                <w:szCs w:val="22"/>
              </w:rPr>
              <w:t>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335" w:type="dxa"/>
            <w:vMerge w:val="continue"/>
            <w:vAlign w:val="center"/>
          </w:tcPr>
          <w:p>
            <w:pPr>
              <w:pStyle w:val="2"/>
              <w:rPr>
                <w:rFonts w:hint="eastAsia" w:eastAsiaTheme="minorEastAsia"/>
                <w:lang w:val="en-US" w:eastAsia="zh-CN"/>
              </w:rPr>
            </w:pP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2.</w:t>
            </w:r>
            <w:r>
              <w:rPr>
                <w:rFonts w:hint="eastAsia" w:asciiTheme="minorEastAsia" w:hAnsiTheme="minorEastAsia" w:eastAsiaTheme="minorEastAsia" w:cstheme="minorEastAsia"/>
                <w:color w:val="000000"/>
                <w:sz w:val="22"/>
                <w:szCs w:val="22"/>
              </w:rPr>
              <w:t>横向比较各</w:t>
            </w:r>
            <w:r>
              <w:rPr>
                <w:rFonts w:hint="eastAsia" w:asciiTheme="minorEastAsia" w:hAnsiTheme="minorEastAsia" w:eastAsiaTheme="minorEastAsia" w:cstheme="minorEastAsia"/>
                <w:color w:val="000000"/>
                <w:sz w:val="22"/>
                <w:szCs w:val="22"/>
                <w:lang w:val="en-US" w:eastAsia="zh-CN"/>
              </w:rPr>
              <w:t>参选</w:t>
            </w:r>
            <w:r>
              <w:rPr>
                <w:rFonts w:hint="eastAsia" w:asciiTheme="minorEastAsia" w:hAnsiTheme="minorEastAsia" w:eastAsiaTheme="minorEastAsia" w:cstheme="minorEastAsia"/>
                <w:color w:val="000000"/>
                <w:sz w:val="22"/>
                <w:szCs w:val="22"/>
              </w:rPr>
              <w:t>文件</w:t>
            </w:r>
            <w:r>
              <w:rPr>
                <w:rFonts w:hint="eastAsia" w:asciiTheme="minorEastAsia" w:hAnsiTheme="minorEastAsia" w:eastAsiaTheme="minorEastAsia" w:cstheme="minorEastAsia"/>
                <w:color w:val="000000"/>
                <w:sz w:val="22"/>
                <w:szCs w:val="22"/>
                <w:lang w:val="en-US" w:eastAsia="zh-CN"/>
              </w:rPr>
              <w:t>的</w:t>
            </w:r>
            <w:r>
              <w:rPr>
                <w:rFonts w:hint="eastAsia" w:asciiTheme="minorEastAsia" w:hAnsiTheme="minorEastAsia" w:eastAsiaTheme="minorEastAsia" w:cstheme="minorEastAsia"/>
                <w:color w:val="000000"/>
                <w:sz w:val="22"/>
                <w:szCs w:val="22"/>
              </w:rPr>
              <w:t>工作协调联络方案：</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A</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rPr>
              <w:t>建立了科学高效、顺畅健全的沟通机制</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项目实施方案中承诺重要事件沟通解决时间，列明日常事项的沟通机制</w:t>
            </w:r>
            <w:r>
              <w:rPr>
                <w:rFonts w:hint="eastAsia" w:asciiTheme="minorEastAsia" w:hAnsiTheme="minorEastAsia" w:eastAsiaTheme="minorEastAsia" w:cstheme="minorEastAsia"/>
                <w:color w:val="000000"/>
                <w:sz w:val="22"/>
                <w:szCs w:val="22"/>
              </w:rPr>
              <w:t>，对</w:t>
            </w:r>
            <w:r>
              <w:rPr>
                <w:rFonts w:hint="eastAsia" w:asciiTheme="minorEastAsia" w:hAnsiTheme="minorEastAsia" w:eastAsiaTheme="minorEastAsia" w:cstheme="minorEastAsia"/>
                <w:color w:val="000000"/>
                <w:sz w:val="22"/>
                <w:szCs w:val="22"/>
                <w:lang w:val="en-US" w:eastAsia="zh-CN"/>
              </w:rPr>
              <w:t>比选</w:t>
            </w:r>
            <w:r>
              <w:rPr>
                <w:rFonts w:hint="eastAsia" w:asciiTheme="minorEastAsia" w:hAnsiTheme="minorEastAsia" w:eastAsiaTheme="minorEastAsia" w:cstheme="minorEastAsia"/>
                <w:color w:val="000000"/>
                <w:sz w:val="22"/>
                <w:szCs w:val="22"/>
              </w:rPr>
              <w:t>人提出的问题能迅速响应、及时反馈</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承诺在24小时内提供解决措施的，且有在福建省有部署服务团队的，能第一时间到现场沟通的，得5</w:t>
            </w:r>
            <w:r>
              <w:rPr>
                <w:rFonts w:hint="eastAsia" w:asciiTheme="minorEastAsia" w:hAnsiTheme="minorEastAsia" w:eastAsiaTheme="minorEastAsia" w:cstheme="minorEastAsia"/>
                <w:color w:val="000000"/>
                <w:sz w:val="22"/>
                <w:szCs w:val="22"/>
              </w:rPr>
              <w:t>分</w:t>
            </w:r>
            <w:r>
              <w:rPr>
                <w:rFonts w:hint="eastAsia" w:asciiTheme="minorEastAsia" w:hAnsiTheme="minorEastAsia" w:eastAsiaTheme="minorEastAsia" w:cstheme="minorEastAsia"/>
                <w:color w:val="000000"/>
                <w:sz w:val="22"/>
                <w:szCs w:val="22"/>
                <w:lang w:eastAsia="zh-CN"/>
              </w:rPr>
              <w:t>。</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B</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rPr>
              <w:t>建立了较为合理而有效的沟通机制</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项目实施方案中承诺重要事件沟通解决时间</w:t>
            </w: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val="en-US" w:eastAsia="zh-CN"/>
              </w:rPr>
              <w:t>明确日常事项的沟通机制，承诺在48小时内提供解决措施的，在福建省没有部署服务团队的，不能第一时间到现场沟通的，得2分。</w:t>
            </w:r>
          </w:p>
          <w:p>
            <w:pPr>
              <w:adjustRightInd w:val="0"/>
              <w:snapToGrid w:val="0"/>
              <w:spacing w:after="0" w:line="24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C.未建设沟通机制，或者具体工作沟通机制不明晰；或者不能明确承诺在48小时内提供解决措施的，得0分。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335" w:type="dxa"/>
            <w:vMerge w:val="continue"/>
            <w:vAlign w:val="center"/>
          </w:tcPr>
          <w:p>
            <w:pPr>
              <w:spacing w:line="240" w:lineRule="auto"/>
              <w:jc w:val="center"/>
              <w:rPr>
                <w:rFonts w:asciiTheme="minorEastAsia" w:hAnsiTheme="minorEastAsia" w:eastAsiaTheme="minorEastAsia" w:cstheme="minorEastAsia"/>
                <w:color w:val="000000"/>
                <w:sz w:val="22"/>
                <w:szCs w:val="22"/>
              </w:rPr>
            </w:pPr>
          </w:p>
        </w:tc>
        <w:tc>
          <w:tcPr>
            <w:tcW w:w="7470" w:type="dxa"/>
            <w:vAlign w:val="center"/>
          </w:tcPr>
          <w:p>
            <w:pPr>
              <w:adjustRightInd w:val="0"/>
              <w:snapToGrid w:val="0"/>
              <w:spacing w:after="0" w:line="240" w:lineRule="auto"/>
              <w:jc w:val="left"/>
              <w:rPr>
                <w:rFonts w:hint="eastAsia"/>
              </w:rPr>
            </w:pP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据拟投入到本项目团队专业人员的经验及背景专业性进行综合排序后</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按团队负责人和主要对接人的服务年限、项目经验、所获证书等）</w:t>
            </w:r>
            <w:r>
              <w:rPr>
                <w:rFonts w:hint="eastAsia" w:asciiTheme="minorEastAsia" w:hAnsiTheme="minorEastAsia" w:eastAsiaTheme="minorEastAsia" w:cstheme="minorEastAsia"/>
                <w:color w:val="000000"/>
                <w:sz w:val="22"/>
                <w:szCs w:val="22"/>
              </w:rPr>
              <w:t>，按排序给分，第一名得</w:t>
            </w:r>
            <w:r>
              <w:rPr>
                <w:rFonts w:hint="eastAsia" w:asciiTheme="minorEastAsia" w:hAnsiTheme="minorEastAsia" w:eastAsiaTheme="minorEastAsia" w:cstheme="minorEastAsia"/>
                <w:color w:val="000000"/>
                <w:sz w:val="22"/>
                <w:szCs w:val="22"/>
                <w:lang w:val="en-US" w:eastAsia="zh-CN"/>
              </w:rPr>
              <w:t>5</w:t>
            </w:r>
            <w:r>
              <w:rPr>
                <w:rFonts w:hint="eastAsia" w:asciiTheme="minorEastAsia" w:hAnsiTheme="minorEastAsia" w:eastAsiaTheme="minorEastAsia" w:cstheme="minorEastAsia"/>
                <w:color w:val="000000"/>
                <w:sz w:val="22"/>
                <w:szCs w:val="22"/>
              </w:rPr>
              <w:t>分，第二名得</w:t>
            </w: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分，第三名得</w:t>
            </w: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分，其余得</w:t>
            </w:r>
            <w:r>
              <w:rPr>
                <w:rFonts w:hint="eastAsia" w:asciiTheme="minorEastAsia" w:hAnsiTheme="minorEastAsia" w:eastAsiaTheme="minorEastAsia" w:cstheme="minorEastAsia"/>
                <w:color w:val="000000"/>
                <w:sz w:val="22"/>
                <w:szCs w:val="22"/>
                <w:lang w:val="en-US" w:eastAsia="zh-CN"/>
              </w:rPr>
              <w:t>0</w:t>
            </w:r>
            <w:r>
              <w:rPr>
                <w:rFonts w:hint="eastAsia" w:asciiTheme="minorEastAsia" w:hAnsiTheme="minorEastAsia" w:eastAsiaTheme="minorEastAsia" w:cstheme="minorEastAsia"/>
                <w:color w:val="000000"/>
                <w:sz w:val="22"/>
                <w:szCs w:val="22"/>
              </w:rPr>
              <w:t>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335" w:type="dxa"/>
            <w:vMerge w:val="continue"/>
            <w:vAlign w:val="center"/>
          </w:tcPr>
          <w:p>
            <w:pPr>
              <w:spacing w:line="240" w:lineRule="auto"/>
              <w:jc w:val="center"/>
              <w:rPr>
                <w:rFonts w:asciiTheme="minorEastAsia" w:hAnsiTheme="minorEastAsia" w:eastAsiaTheme="minorEastAsia" w:cstheme="minorEastAsia"/>
                <w:color w:val="000000"/>
                <w:sz w:val="22"/>
                <w:szCs w:val="22"/>
              </w:rPr>
            </w:pPr>
          </w:p>
        </w:tc>
        <w:tc>
          <w:tcPr>
            <w:tcW w:w="7470" w:type="dxa"/>
            <w:vAlign w:val="center"/>
          </w:tcPr>
          <w:p>
            <w:pPr>
              <w:adjustRightInd w:val="0"/>
              <w:snapToGrid w:val="0"/>
              <w:spacing w:after="0" w:line="240" w:lineRule="auto"/>
              <w:jc w:val="left"/>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color w:val="auto"/>
                <w:sz w:val="22"/>
                <w:szCs w:val="22"/>
                <w:highlight w:val="none"/>
                <w:lang w:val="en-US" w:eastAsia="zh-CN"/>
              </w:rPr>
              <w:t>4.增值服务：提供与投资者关系管理服务相关的增值服务，每提供一项得3分，满3项得10分。</w:t>
            </w:r>
          </w:p>
        </w:tc>
        <w:tc>
          <w:tcPr>
            <w:tcW w:w="765" w:type="dxa"/>
            <w:vAlign w:val="center"/>
          </w:tcPr>
          <w:p>
            <w:pPr>
              <w:spacing w:line="240" w:lineRule="auto"/>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805" w:type="dxa"/>
            <w:gridSpan w:val="2"/>
            <w:vAlign w:val="center"/>
          </w:tcPr>
          <w:p>
            <w:pPr>
              <w:spacing w:line="240" w:lineRule="auto"/>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b/>
                <w:bCs/>
                <w:color w:val="000000"/>
                <w:sz w:val="22"/>
                <w:szCs w:val="22"/>
              </w:rPr>
              <w:t>合计</w:t>
            </w:r>
          </w:p>
        </w:tc>
        <w:tc>
          <w:tcPr>
            <w:tcW w:w="765" w:type="dxa"/>
            <w:vAlign w:val="center"/>
          </w:tcPr>
          <w:p>
            <w:pPr>
              <w:spacing w:line="240" w:lineRule="auto"/>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100</w:t>
            </w:r>
          </w:p>
        </w:tc>
        <w:tc>
          <w:tcPr>
            <w:tcW w:w="570" w:type="dxa"/>
            <w:vAlign w:val="center"/>
          </w:tcPr>
          <w:p>
            <w:pPr>
              <w:spacing w:line="240" w:lineRule="auto"/>
              <w:jc w:val="center"/>
              <w:rPr>
                <w:rFonts w:asciiTheme="minorEastAsia" w:hAnsiTheme="minorEastAsia" w:eastAsiaTheme="minorEastAsia" w:cstheme="minorEastAsia"/>
                <w:b/>
                <w:bCs/>
                <w:color w:val="000000"/>
                <w:sz w:val="22"/>
                <w:szCs w:val="22"/>
              </w:rPr>
            </w:pPr>
          </w:p>
        </w:tc>
      </w:tr>
    </w:tbl>
    <w:p>
      <w:pPr>
        <w:widowControl/>
        <w:spacing w:after="0" w:line="240" w:lineRule="auto"/>
        <w:jc w:val="left"/>
        <w:rPr>
          <w:rFonts w:asciiTheme="minorEastAsia" w:hAnsiTheme="minorEastAsia" w:eastAsiaTheme="minorEastAsia" w:cstheme="minorEastAsia"/>
          <w:sz w:val="24"/>
        </w:rPr>
      </w:pPr>
    </w:p>
    <w:sectPr>
      <w:footerReference r:id="rId4" w:type="default"/>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03035"/>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kOTA3ZjJlZWI1OTViZjg1YWY5ZWQ4NmE0ZmIwOGQifQ=="/>
  </w:docVars>
  <w:rsids>
    <w:rsidRoot w:val="00AD5CEA"/>
    <w:rsid w:val="0000484C"/>
    <w:rsid w:val="00005D52"/>
    <w:rsid w:val="00006250"/>
    <w:rsid w:val="0001531C"/>
    <w:rsid w:val="00024E5C"/>
    <w:rsid w:val="000851ED"/>
    <w:rsid w:val="00096775"/>
    <w:rsid w:val="000B2465"/>
    <w:rsid w:val="000C19E4"/>
    <w:rsid w:val="001063BB"/>
    <w:rsid w:val="001140EF"/>
    <w:rsid w:val="00177E50"/>
    <w:rsid w:val="00194B9A"/>
    <w:rsid w:val="001953F6"/>
    <w:rsid w:val="001959EC"/>
    <w:rsid w:val="001A174D"/>
    <w:rsid w:val="001A2B1A"/>
    <w:rsid w:val="001A68D2"/>
    <w:rsid w:val="001B0F05"/>
    <w:rsid w:val="001B79B1"/>
    <w:rsid w:val="001D5E6A"/>
    <w:rsid w:val="001E7741"/>
    <w:rsid w:val="001F0337"/>
    <w:rsid w:val="00213711"/>
    <w:rsid w:val="002412E6"/>
    <w:rsid w:val="00242225"/>
    <w:rsid w:val="00244963"/>
    <w:rsid w:val="00252325"/>
    <w:rsid w:val="00252965"/>
    <w:rsid w:val="00261850"/>
    <w:rsid w:val="00286C3C"/>
    <w:rsid w:val="00287E16"/>
    <w:rsid w:val="002906AA"/>
    <w:rsid w:val="002A72C0"/>
    <w:rsid w:val="002B3130"/>
    <w:rsid w:val="002C0885"/>
    <w:rsid w:val="0030076E"/>
    <w:rsid w:val="0031219F"/>
    <w:rsid w:val="0033363C"/>
    <w:rsid w:val="003404AE"/>
    <w:rsid w:val="00340B96"/>
    <w:rsid w:val="003463E6"/>
    <w:rsid w:val="00356C25"/>
    <w:rsid w:val="00383170"/>
    <w:rsid w:val="00383BAB"/>
    <w:rsid w:val="00391CF0"/>
    <w:rsid w:val="003A051A"/>
    <w:rsid w:val="003A1538"/>
    <w:rsid w:val="003A2A58"/>
    <w:rsid w:val="003B4E9A"/>
    <w:rsid w:val="003C5A14"/>
    <w:rsid w:val="003E4AFF"/>
    <w:rsid w:val="003F158A"/>
    <w:rsid w:val="00414665"/>
    <w:rsid w:val="00427835"/>
    <w:rsid w:val="00435CE3"/>
    <w:rsid w:val="004373A7"/>
    <w:rsid w:val="00440271"/>
    <w:rsid w:val="00460AF8"/>
    <w:rsid w:val="00470D75"/>
    <w:rsid w:val="00472A91"/>
    <w:rsid w:val="00473493"/>
    <w:rsid w:val="004902D5"/>
    <w:rsid w:val="004A549A"/>
    <w:rsid w:val="004F4B94"/>
    <w:rsid w:val="004F76F4"/>
    <w:rsid w:val="005078CA"/>
    <w:rsid w:val="0052776D"/>
    <w:rsid w:val="005418B8"/>
    <w:rsid w:val="0054255C"/>
    <w:rsid w:val="00542B18"/>
    <w:rsid w:val="0054773B"/>
    <w:rsid w:val="005529A7"/>
    <w:rsid w:val="00554A79"/>
    <w:rsid w:val="00566188"/>
    <w:rsid w:val="005805B2"/>
    <w:rsid w:val="005948F3"/>
    <w:rsid w:val="005A201D"/>
    <w:rsid w:val="005C4B65"/>
    <w:rsid w:val="006140B5"/>
    <w:rsid w:val="00617DA2"/>
    <w:rsid w:val="0063637A"/>
    <w:rsid w:val="00645B5E"/>
    <w:rsid w:val="0065788A"/>
    <w:rsid w:val="006A1843"/>
    <w:rsid w:val="006A7AC6"/>
    <w:rsid w:val="006E1B34"/>
    <w:rsid w:val="00713E6D"/>
    <w:rsid w:val="00726770"/>
    <w:rsid w:val="00727098"/>
    <w:rsid w:val="00730303"/>
    <w:rsid w:val="007434A5"/>
    <w:rsid w:val="0075276E"/>
    <w:rsid w:val="00754043"/>
    <w:rsid w:val="0077194C"/>
    <w:rsid w:val="00793A50"/>
    <w:rsid w:val="007941AE"/>
    <w:rsid w:val="007B7007"/>
    <w:rsid w:val="007B730F"/>
    <w:rsid w:val="007C2572"/>
    <w:rsid w:val="007D2719"/>
    <w:rsid w:val="007E401B"/>
    <w:rsid w:val="007E7332"/>
    <w:rsid w:val="007F2A40"/>
    <w:rsid w:val="0083780C"/>
    <w:rsid w:val="00845D7C"/>
    <w:rsid w:val="00877C79"/>
    <w:rsid w:val="00886AFF"/>
    <w:rsid w:val="008A19F0"/>
    <w:rsid w:val="008A3078"/>
    <w:rsid w:val="008C12CD"/>
    <w:rsid w:val="008C2E27"/>
    <w:rsid w:val="008D6685"/>
    <w:rsid w:val="008D74A0"/>
    <w:rsid w:val="009316B8"/>
    <w:rsid w:val="00937826"/>
    <w:rsid w:val="00964C4B"/>
    <w:rsid w:val="00966EF0"/>
    <w:rsid w:val="00976375"/>
    <w:rsid w:val="0098428A"/>
    <w:rsid w:val="00986EA1"/>
    <w:rsid w:val="009C0C35"/>
    <w:rsid w:val="009E0D0C"/>
    <w:rsid w:val="009E6262"/>
    <w:rsid w:val="009F6D50"/>
    <w:rsid w:val="00A04076"/>
    <w:rsid w:val="00A15DC0"/>
    <w:rsid w:val="00A370C7"/>
    <w:rsid w:val="00A97A6F"/>
    <w:rsid w:val="00AA15E4"/>
    <w:rsid w:val="00AA72DA"/>
    <w:rsid w:val="00AB0399"/>
    <w:rsid w:val="00AD5CEA"/>
    <w:rsid w:val="00AE402B"/>
    <w:rsid w:val="00B077AA"/>
    <w:rsid w:val="00B36A67"/>
    <w:rsid w:val="00B36A69"/>
    <w:rsid w:val="00B75B27"/>
    <w:rsid w:val="00BA5CA8"/>
    <w:rsid w:val="00BB2D03"/>
    <w:rsid w:val="00BD1CC4"/>
    <w:rsid w:val="00BD70B0"/>
    <w:rsid w:val="00BE7287"/>
    <w:rsid w:val="00C07314"/>
    <w:rsid w:val="00C21B13"/>
    <w:rsid w:val="00C459EF"/>
    <w:rsid w:val="00C5685D"/>
    <w:rsid w:val="00C71299"/>
    <w:rsid w:val="00C77038"/>
    <w:rsid w:val="00CD4529"/>
    <w:rsid w:val="00CF4C3A"/>
    <w:rsid w:val="00D2154E"/>
    <w:rsid w:val="00D33EC0"/>
    <w:rsid w:val="00D37AF2"/>
    <w:rsid w:val="00D4154F"/>
    <w:rsid w:val="00D6436A"/>
    <w:rsid w:val="00DA3948"/>
    <w:rsid w:val="00DA3B16"/>
    <w:rsid w:val="00DA6DED"/>
    <w:rsid w:val="00DC7B23"/>
    <w:rsid w:val="00DD4598"/>
    <w:rsid w:val="00DD6DC9"/>
    <w:rsid w:val="00DE29D9"/>
    <w:rsid w:val="00E068C4"/>
    <w:rsid w:val="00E53E9F"/>
    <w:rsid w:val="00E560E0"/>
    <w:rsid w:val="00E76B95"/>
    <w:rsid w:val="00E8260F"/>
    <w:rsid w:val="00E9061D"/>
    <w:rsid w:val="00EC37E5"/>
    <w:rsid w:val="00EE1310"/>
    <w:rsid w:val="00EE1DA1"/>
    <w:rsid w:val="00F639E0"/>
    <w:rsid w:val="00F8455D"/>
    <w:rsid w:val="00FA2DF0"/>
    <w:rsid w:val="00FA3795"/>
    <w:rsid w:val="00FA71C6"/>
    <w:rsid w:val="00FD7397"/>
    <w:rsid w:val="00FE60DA"/>
    <w:rsid w:val="00FF1568"/>
    <w:rsid w:val="01AA57BC"/>
    <w:rsid w:val="01DD5D44"/>
    <w:rsid w:val="028D447F"/>
    <w:rsid w:val="02BD792B"/>
    <w:rsid w:val="03056EC1"/>
    <w:rsid w:val="034E3C8A"/>
    <w:rsid w:val="03D64356"/>
    <w:rsid w:val="05B253F0"/>
    <w:rsid w:val="09337153"/>
    <w:rsid w:val="0A8E0AC3"/>
    <w:rsid w:val="0B122E4B"/>
    <w:rsid w:val="0B6D0F53"/>
    <w:rsid w:val="0BAC437F"/>
    <w:rsid w:val="0E4052CB"/>
    <w:rsid w:val="0F6A6AB5"/>
    <w:rsid w:val="12101BC1"/>
    <w:rsid w:val="134B3532"/>
    <w:rsid w:val="163741C7"/>
    <w:rsid w:val="1C03324B"/>
    <w:rsid w:val="1C8233C8"/>
    <w:rsid w:val="1CAC629E"/>
    <w:rsid w:val="1CCC76FE"/>
    <w:rsid w:val="1EC95F6E"/>
    <w:rsid w:val="21A27E69"/>
    <w:rsid w:val="21B508B1"/>
    <w:rsid w:val="23665ACD"/>
    <w:rsid w:val="23797804"/>
    <w:rsid w:val="283E2D33"/>
    <w:rsid w:val="299E2C1D"/>
    <w:rsid w:val="2B1F6ABB"/>
    <w:rsid w:val="2BAE5F0E"/>
    <w:rsid w:val="2BDB31F0"/>
    <w:rsid w:val="2BE472D5"/>
    <w:rsid w:val="2C9F7BCD"/>
    <w:rsid w:val="2D8D3DEA"/>
    <w:rsid w:val="2DAC4921"/>
    <w:rsid w:val="2DE223A0"/>
    <w:rsid w:val="2EAE39E5"/>
    <w:rsid w:val="312E2709"/>
    <w:rsid w:val="3252513F"/>
    <w:rsid w:val="3374464A"/>
    <w:rsid w:val="338651F7"/>
    <w:rsid w:val="34AF17B5"/>
    <w:rsid w:val="34C57F0D"/>
    <w:rsid w:val="35C416AC"/>
    <w:rsid w:val="394604FA"/>
    <w:rsid w:val="3AC6560F"/>
    <w:rsid w:val="3CD2147F"/>
    <w:rsid w:val="3DF37D6A"/>
    <w:rsid w:val="3F5911F3"/>
    <w:rsid w:val="402E3878"/>
    <w:rsid w:val="404B2105"/>
    <w:rsid w:val="41306081"/>
    <w:rsid w:val="41EF51E3"/>
    <w:rsid w:val="42636B64"/>
    <w:rsid w:val="428C5AAB"/>
    <w:rsid w:val="43924B92"/>
    <w:rsid w:val="44672DDD"/>
    <w:rsid w:val="467A0882"/>
    <w:rsid w:val="46E81D62"/>
    <w:rsid w:val="47112CC2"/>
    <w:rsid w:val="486D434F"/>
    <w:rsid w:val="487014AC"/>
    <w:rsid w:val="48C5333F"/>
    <w:rsid w:val="494F5685"/>
    <w:rsid w:val="4B654E8E"/>
    <w:rsid w:val="4CC37692"/>
    <w:rsid w:val="4DEC24A6"/>
    <w:rsid w:val="4E142F35"/>
    <w:rsid w:val="4F584B0E"/>
    <w:rsid w:val="4F88491D"/>
    <w:rsid w:val="4FDD3358"/>
    <w:rsid w:val="502C00F4"/>
    <w:rsid w:val="505B3EB6"/>
    <w:rsid w:val="51236D8A"/>
    <w:rsid w:val="512914B3"/>
    <w:rsid w:val="5272257C"/>
    <w:rsid w:val="53A62CF8"/>
    <w:rsid w:val="5459530C"/>
    <w:rsid w:val="560A5C84"/>
    <w:rsid w:val="58D7052B"/>
    <w:rsid w:val="5C044535"/>
    <w:rsid w:val="5CC65639"/>
    <w:rsid w:val="5DB713A1"/>
    <w:rsid w:val="5E8636C1"/>
    <w:rsid w:val="5FF77ED2"/>
    <w:rsid w:val="61091019"/>
    <w:rsid w:val="63D73F20"/>
    <w:rsid w:val="65D016B0"/>
    <w:rsid w:val="669F3ACA"/>
    <w:rsid w:val="67B00FA1"/>
    <w:rsid w:val="697D29E9"/>
    <w:rsid w:val="703B51EB"/>
    <w:rsid w:val="705A7731"/>
    <w:rsid w:val="71043634"/>
    <w:rsid w:val="71144E30"/>
    <w:rsid w:val="712C01E3"/>
    <w:rsid w:val="71DC0475"/>
    <w:rsid w:val="788A0129"/>
    <w:rsid w:val="78ED2307"/>
    <w:rsid w:val="79E93605"/>
    <w:rsid w:val="79FB1C3E"/>
    <w:rsid w:val="7C2B5BB1"/>
    <w:rsid w:val="7CD86F37"/>
    <w:rsid w:val="7E3A3D1F"/>
    <w:rsid w:val="7F22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style>
  <w:style w:type="paragraph" w:styleId="3">
    <w:name w:val="annotation text"/>
    <w:basedOn w:val="1"/>
    <w:semiHidden/>
    <w:unhideWhenUsed/>
    <w:qFormat/>
    <w:uiPriority w:val="99"/>
    <w:pPr>
      <w:jc w:val="left"/>
    </w:pPr>
  </w:style>
  <w:style w:type="paragraph" w:styleId="4">
    <w:name w:val="Body Text Indent"/>
    <w:basedOn w:val="1"/>
    <w:next w:val="5"/>
    <w:qFormat/>
    <w:uiPriority w:val="0"/>
    <w:pPr>
      <w:ind w:firstLine="444"/>
    </w:pPr>
    <w:rPr>
      <w:b/>
      <w:sz w:val="24"/>
    </w:rPr>
  </w:style>
  <w:style w:type="paragraph" w:styleId="5">
    <w:name w:val="Body Text First Indent 2"/>
    <w:basedOn w:val="4"/>
    <w:next w:val="1"/>
    <w:unhideWhenUsed/>
    <w:qFormat/>
    <w:uiPriority w:val="0"/>
    <w:pPr>
      <w:spacing w:after="120"/>
      <w:ind w:left="420" w:leftChars="200" w:firstLine="420" w:firstLineChars="200"/>
    </w:pPr>
    <w:rPr>
      <w:b w:val="0"/>
      <w:sz w:val="21"/>
    </w:r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p141"/>
    <w:basedOn w:val="10"/>
    <w:qFormat/>
    <w:uiPriority w:val="0"/>
    <w:rPr>
      <w:sz w:val="21"/>
      <w:szCs w:val="21"/>
    </w:rPr>
  </w:style>
  <w:style w:type="character" w:customStyle="1" w:styleId="15">
    <w:name w:val="未处理的提及1"/>
    <w:basedOn w:val="10"/>
    <w:semiHidden/>
    <w:unhideWhenUsed/>
    <w:qFormat/>
    <w:uiPriority w:val="99"/>
    <w:rPr>
      <w:color w:val="605E5C"/>
      <w:shd w:val="clear" w:color="auto" w:fill="E1DFDD"/>
    </w:rPr>
  </w:style>
  <w:style w:type="character" w:customStyle="1" w:styleId="16">
    <w:name w:val="页眉 字符"/>
    <w:basedOn w:val="10"/>
    <w:link w:val="8"/>
    <w:qFormat/>
    <w:uiPriority w:val="99"/>
    <w:rPr>
      <w:rFonts w:ascii="Times New Roman" w:hAnsi="Times New Roman" w:eastAsia="宋体" w:cs="Times New Roman"/>
      <w:sz w:val="18"/>
      <w:szCs w:val="18"/>
    </w:rPr>
  </w:style>
  <w:style w:type="character" w:customStyle="1" w:styleId="17">
    <w:name w:val="页脚 字符"/>
    <w:basedOn w:val="10"/>
    <w:link w:val="7"/>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6"/>
    <w:semiHidden/>
    <w:qFormat/>
    <w:uiPriority w:val="99"/>
    <w:rPr>
      <w:rFonts w:ascii="Times New Roman" w:hAnsi="Times New Roman" w:eastAsia="宋体" w:cs="Times New Roman"/>
      <w:sz w:val="18"/>
      <w:szCs w:val="18"/>
    </w:rPr>
  </w:style>
  <w:style w:type="character" w:customStyle="1" w:styleId="20">
    <w:name w:val="未处理的提及2"/>
    <w:basedOn w:val="10"/>
    <w:semiHidden/>
    <w:unhideWhenUsed/>
    <w:qFormat/>
    <w:uiPriority w:val="99"/>
    <w:rPr>
      <w:color w:val="605E5C"/>
      <w:shd w:val="clear" w:color="auto" w:fill="E1DFDD"/>
    </w:rPr>
  </w:style>
  <w:style w:type="paragraph" w:customStyle="1" w:styleId="21">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3323</Words>
  <Characters>3480</Characters>
  <Lines>30</Lines>
  <Paragraphs>8</Paragraphs>
  <TotalTime>1</TotalTime>
  <ScaleCrop>false</ScaleCrop>
  <LinksUpToDate>false</LinksUpToDate>
  <CharactersWithSpaces>3630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2025-06-16T13:24:00Z</dcterms:created>
  <dc:creator>柯玉萍</dc:creator>
  <cp:lastModifiedBy>楊雪嬌</cp:lastModifiedBy>
  <cp:lastPrinted>2025-10-14T08:34:00Z</cp:lastPrinted>
  <dcterms:modified xsi:type="dcterms:W3CDTF">2025-10-15T01:49:08Z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3D4B2FB9529F45E7A44358297F5D0725_13</vt:lpwstr>
  </property>
  <property fmtid="{D5CDD505-2E9C-101B-9397-08002B2CF9AE}" pid="4" name="KSOTemplateDocerSaveRecord">
    <vt:lpwstr>eyJoZGlkIjoiMWQ1YWVmNTA1NmRlNzMxZmQ4MDBkZmRkMDU5ZjliYjEiLCJ1c2VySWQiOiIzNzMzNTU3NDQifQ==</vt:lpwstr>
  </property>
</Properties>
</file>