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FAD6B2">
      <w:pPr>
        <w:keepNext w:val="0"/>
        <w:keepLines w:val="0"/>
        <w:widowControl/>
        <w:suppressLineNumbers w:val="0"/>
        <w:snapToGrid w:val="0"/>
        <w:ind w:left="0" w:leftChars="0" w:right="0" w:rightChars="0" w:firstLine="0" w:firstLineChars="0"/>
        <w:jc w:val="left"/>
        <w:textAlignment w:val="center"/>
        <w:rPr>
          <w:rStyle w:val="9"/>
          <w:rFonts w:hint="default" w:ascii="黑体" w:hAnsi="黑体" w:eastAsia="黑体" w:cs="黑体"/>
          <w:b w:val="0"/>
          <w:bCs w:val="0"/>
          <w:sz w:val="28"/>
          <w:szCs w:val="28"/>
          <w:lang w:val="en-US" w:eastAsia="zh-CN" w:bidi="ar"/>
        </w:rPr>
      </w:pPr>
      <w:r>
        <w:rPr>
          <w:rStyle w:val="9"/>
          <w:rFonts w:hint="eastAsia" w:ascii="黑体" w:hAnsi="黑体" w:eastAsia="黑体" w:cs="黑体"/>
          <w:b w:val="0"/>
          <w:bCs w:val="0"/>
          <w:sz w:val="28"/>
          <w:szCs w:val="28"/>
          <w:lang w:val="en-US" w:eastAsia="zh-CN" w:bidi="ar"/>
        </w:rPr>
        <w:t>附件5</w:t>
      </w:r>
    </w:p>
    <w:p w14:paraId="59B94928">
      <w:pPr>
        <w:keepNext w:val="0"/>
        <w:keepLines w:val="0"/>
        <w:pageBreakBefore w:val="0"/>
        <w:widowControl w:val="0"/>
        <w:kinsoku/>
        <w:wordWrap/>
        <w:overflowPunct/>
        <w:topLinePunct w:val="0"/>
        <w:autoSpaceDE/>
        <w:autoSpaceDN/>
        <w:bidi w:val="0"/>
        <w:adjustRightInd/>
        <w:snapToGrid/>
        <w:spacing w:line="516" w:lineRule="exact"/>
        <w:jc w:val="center"/>
        <w:textAlignment w:val="auto"/>
        <w:rPr>
          <w:rFonts w:hint="eastAsia" w:asciiTheme="majorEastAsia" w:hAnsiTheme="majorEastAsia" w:eastAsiaTheme="majorEastAsia" w:cstheme="majorEastAsia"/>
          <w:b/>
          <w:bCs/>
          <w:sz w:val="36"/>
          <w:szCs w:val="44"/>
          <w:lang w:val="en-US" w:eastAsia="zh-CN"/>
        </w:rPr>
      </w:pPr>
      <w:r>
        <w:rPr>
          <w:rFonts w:hint="eastAsia" w:asciiTheme="majorEastAsia" w:hAnsiTheme="majorEastAsia" w:eastAsiaTheme="majorEastAsia" w:cstheme="majorEastAsia"/>
          <w:b/>
          <w:bCs/>
          <w:sz w:val="36"/>
          <w:szCs w:val="44"/>
          <w:lang w:val="en-US" w:eastAsia="zh-CN"/>
        </w:rPr>
        <w:t>漳州片仔癀国药堂医药连锁有限公司</w:t>
      </w:r>
    </w:p>
    <w:p w14:paraId="44DC36C2">
      <w:pPr>
        <w:keepNext w:val="0"/>
        <w:keepLines w:val="0"/>
        <w:pageBreakBefore w:val="0"/>
        <w:widowControl w:val="0"/>
        <w:kinsoku/>
        <w:wordWrap/>
        <w:overflowPunct/>
        <w:topLinePunct w:val="0"/>
        <w:autoSpaceDE/>
        <w:autoSpaceDN/>
        <w:bidi w:val="0"/>
        <w:adjustRightInd/>
        <w:snapToGrid/>
        <w:spacing w:line="516" w:lineRule="exact"/>
        <w:jc w:val="center"/>
        <w:textAlignment w:val="auto"/>
        <w:rPr>
          <w:rFonts w:hint="eastAsia" w:asciiTheme="majorEastAsia" w:hAnsiTheme="majorEastAsia" w:eastAsiaTheme="majorEastAsia" w:cstheme="majorEastAsia"/>
          <w:b/>
          <w:bCs/>
          <w:sz w:val="36"/>
          <w:szCs w:val="44"/>
          <w:lang w:val="en-US" w:eastAsia="zh-CN"/>
        </w:rPr>
      </w:pPr>
      <w:r>
        <w:rPr>
          <w:rFonts w:hint="eastAsia" w:asciiTheme="majorEastAsia" w:hAnsiTheme="majorEastAsia" w:eastAsiaTheme="majorEastAsia" w:cstheme="majorEastAsia"/>
          <w:b/>
          <w:bCs/>
          <w:sz w:val="36"/>
          <w:szCs w:val="44"/>
          <w:lang w:val="en-US" w:eastAsia="zh-CN"/>
        </w:rPr>
        <w:t>网络安全服务项目评分标准</w:t>
      </w:r>
    </w:p>
    <w:p w14:paraId="5A70581B">
      <w:pPr>
        <w:pStyle w:val="3"/>
        <w:rPr>
          <w:rFonts w:hint="eastAsia" w:ascii="宋体" w:hAnsi="宋体" w:eastAsia="宋体"/>
          <w:sz w:val="24"/>
          <w:szCs w:val="24"/>
          <w:lang w:eastAsia="zh-CN"/>
        </w:rPr>
      </w:pPr>
    </w:p>
    <w:p w14:paraId="4618947E">
      <w:pPr>
        <w:pStyle w:val="3"/>
        <w:keepNext w:val="0"/>
        <w:keepLines w:val="0"/>
        <w:pageBreakBefore w:val="0"/>
        <w:widowControl w:val="0"/>
        <w:kinsoku/>
        <w:wordWrap/>
        <w:overflowPunct/>
        <w:topLinePunct w:val="0"/>
        <w:autoSpaceDE/>
        <w:autoSpaceDN/>
        <w:bidi w:val="0"/>
        <w:adjustRightInd/>
        <w:snapToGrid/>
        <w:spacing w:after="0"/>
        <w:ind w:left="0" w:leftChars="0" w:firstLine="0" w:firstLineChars="0"/>
        <w:textAlignment w:val="auto"/>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1、价格项(35分)</w:t>
      </w:r>
    </w:p>
    <w:p w14:paraId="0C34BB8D">
      <w:pPr>
        <w:spacing w:line="29" w:lineRule="exact"/>
        <w:rPr>
          <w:rFonts w:hint="eastAsia" w:asciiTheme="minorEastAsia" w:hAnsiTheme="minorEastAsia" w:eastAsiaTheme="minorEastAsia" w:cstheme="minorEastAsia"/>
          <w:color w:val="auto"/>
          <w:sz w:val="21"/>
          <w:szCs w:val="21"/>
          <w:lang w:eastAsia="zh-CN"/>
        </w:rPr>
      </w:pPr>
    </w:p>
    <w:tbl>
      <w:tblPr>
        <w:tblStyle w:val="8"/>
        <w:tblW w:w="9087"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8196"/>
        <w:gridCol w:w="891"/>
      </w:tblGrid>
      <w:tr w14:paraId="6F99D7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8196" w:type="dxa"/>
            <w:vAlign w:val="center"/>
          </w:tcPr>
          <w:p w14:paraId="2760C91A">
            <w:pPr>
              <w:pStyle w:val="7"/>
              <w:keepNext w:val="0"/>
              <w:keepLines w:val="0"/>
              <w:pageBreakBefore w:val="0"/>
              <w:widowControl w:val="0"/>
              <w:kinsoku/>
              <w:wordWrap/>
              <w:overflowPunct/>
              <w:topLinePunct w:val="0"/>
              <w:autoSpaceDE/>
              <w:autoSpaceDN/>
              <w:bidi w:val="0"/>
              <w:adjustRightInd/>
              <w:snapToGrid w:val="0"/>
              <w:spacing w:line="240" w:lineRule="auto"/>
              <w:ind w:left="0"/>
              <w:jc w:val="center"/>
              <w:textAlignment w:val="auto"/>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spacing w:val="1"/>
                <w:sz w:val="21"/>
                <w:szCs w:val="21"/>
              </w:rPr>
              <w:t>比选内容及标准</w:t>
            </w:r>
          </w:p>
        </w:tc>
        <w:tc>
          <w:tcPr>
            <w:tcW w:w="891" w:type="dxa"/>
            <w:vAlign w:val="center"/>
          </w:tcPr>
          <w:p w14:paraId="05DD274A">
            <w:pPr>
              <w:pStyle w:val="7"/>
              <w:keepNext w:val="0"/>
              <w:keepLines w:val="0"/>
              <w:pageBreakBefore w:val="0"/>
              <w:widowControl w:val="0"/>
              <w:kinsoku/>
              <w:wordWrap/>
              <w:overflowPunct/>
              <w:topLinePunct w:val="0"/>
              <w:autoSpaceDE/>
              <w:autoSpaceDN/>
              <w:bidi w:val="0"/>
              <w:adjustRightInd/>
              <w:snapToGrid w:val="0"/>
              <w:spacing w:line="240" w:lineRule="auto"/>
              <w:ind w:left="0"/>
              <w:jc w:val="center"/>
              <w:textAlignment w:val="auto"/>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spacing w:val="-3"/>
                <w:sz w:val="21"/>
                <w:szCs w:val="21"/>
              </w:rPr>
              <w:t>分值</w:t>
            </w:r>
          </w:p>
        </w:tc>
      </w:tr>
      <w:tr w14:paraId="2399F2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8196" w:type="dxa"/>
            <w:vAlign w:val="center"/>
          </w:tcPr>
          <w:p w14:paraId="08873FAE">
            <w:pPr>
              <w:pStyle w:val="7"/>
              <w:spacing w:before="41" w:line="266" w:lineRule="auto"/>
              <w:ind w:left="14" w:right="118"/>
              <w:rPr>
                <w:color w:val="auto"/>
                <w:spacing w:val="-1"/>
                <w:sz w:val="21"/>
                <w:szCs w:val="21"/>
                <w:lang w:eastAsia="zh-CN"/>
              </w:rPr>
            </w:pPr>
            <w:r>
              <w:rPr>
                <w:color w:val="auto"/>
                <w:sz w:val="21"/>
                <w:szCs w:val="21"/>
                <w:lang w:eastAsia="zh-CN"/>
              </w:rPr>
              <w:t>价格分=35*(1-</w:t>
            </w:r>
            <w:r>
              <w:rPr>
                <w:color w:val="auto"/>
                <w:spacing w:val="-1"/>
                <w:sz w:val="21"/>
                <w:szCs w:val="21"/>
                <w:lang w:eastAsia="zh-CN"/>
              </w:rPr>
              <w:t>|</w:t>
            </w:r>
            <w:r>
              <w:rPr>
                <w:color w:val="auto"/>
                <w:sz w:val="21"/>
                <w:szCs w:val="21"/>
                <w:lang w:eastAsia="zh-CN"/>
              </w:rPr>
              <w:t>(参选公司报价-所有参选公司平均报价)/所有参选公司</w:t>
            </w:r>
            <w:r>
              <w:rPr>
                <w:color w:val="auto"/>
                <w:spacing w:val="-1"/>
                <w:sz w:val="21"/>
                <w:szCs w:val="21"/>
                <w:lang w:eastAsia="zh-CN"/>
              </w:rPr>
              <w:t>平均报价|),</w:t>
            </w:r>
          </w:p>
          <w:p w14:paraId="529139B9">
            <w:pPr>
              <w:pStyle w:val="7"/>
              <w:keepNext w:val="0"/>
              <w:keepLines w:val="0"/>
              <w:pageBreakBefore w:val="0"/>
              <w:widowControl w:val="0"/>
              <w:kinsoku/>
              <w:wordWrap/>
              <w:overflowPunct/>
              <w:topLinePunct w:val="0"/>
              <w:autoSpaceDE/>
              <w:autoSpaceDN/>
              <w:bidi w:val="0"/>
              <w:adjustRightInd/>
              <w:snapToGrid w:val="0"/>
              <w:spacing w:line="240" w:lineRule="auto"/>
              <w:ind w:right="0"/>
              <w:textAlignment w:val="auto"/>
              <w:rPr>
                <w:rFonts w:hint="eastAsia" w:asciiTheme="minorEastAsia" w:hAnsiTheme="minorEastAsia" w:eastAsiaTheme="minorEastAsia" w:cstheme="minorEastAsia"/>
                <w:color w:val="auto"/>
                <w:sz w:val="21"/>
                <w:szCs w:val="21"/>
                <w:lang w:val="en-US" w:eastAsia="zh-CN"/>
              </w:rPr>
            </w:pPr>
            <w:r>
              <w:rPr>
                <w:color w:val="auto"/>
                <w:spacing w:val="-1"/>
                <w:sz w:val="21"/>
                <w:szCs w:val="21"/>
                <w:lang w:eastAsia="zh-CN"/>
              </w:rPr>
              <w:t>计算分数时四舍五入取小数点后2位数。</w:t>
            </w:r>
          </w:p>
        </w:tc>
        <w:tc>
          <w:tcPr>
            <w:tcW w:w="891" w:type="dxa"/>
            <w:vAlign w:val="center"/>
          </w:tcPr>
          <w:p w14:paraId="01C330FC">
            <w:pPr>
              <w:pStyle w:val="7"/>
              <w:keepNext w:val="0"/>
              <w:keepLines w:val="0"/>
              <w:pageBreakBefore w:val="0"/>
              <w:widowControl w:val="0"/>
              <w:kinsoku/>
              <w:wordWrap/>
              <w:overflowPunct/>
              <w:topLinePunct w:val="0"/>
              <w:autoSpaceDE/>
              <w:autoSpaceDN/>
              <w:bidi w:val="0"/>
              <w:adjustRightInd/>
              <w:snapToGrid w:val="0"/>
              <w:spacing w:line="240" w:lineRule="auto"/>
              <w:ind w:left="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2"/>
                <w:sz w:val="21"/>
                <w:szCs w:val="21"/>
              </w:rPr>
              <w:t>35分</w:t>
            </w:r>
          </w:p>
        </w:tc>
      </w:tr>
    </w:tbl>
    <w:p w14:paraId="70EF5281">
      <w:pPr>
        <w:pStyle w:val="3"/>
        <w:keepNext w:val="0"/>
        <w:keepLines w:val="0"/>
        <w:pageBreakBefore w:val="0"/>
        <w:widowControl w:val="0"/>
        <w:kinsoku/>
        <w:wordWrap/>
        <w:overflowPunct/>
        <w:topLinePunct w:val="0"/>
        <w:autoSpaceDE/>
        <w:autoSpaceDN/>
        <w:bidi w:val="0"/>
        <w:adjustRightInd/>
        <w:snapToGrid/>
        <w:spacing w:after="0"/>
        <w:ind w:left="0" w:leftChars="0" w:firstLine="0" w:firstLineChars="0"/>
        <w:textAlignment w:val="auto"/>
        <w:rPr>
          <w:rFonts w:hint="eastAsia" w:asciiTheme="minorEastAsia" w:hAnsiTheme="minorEastAsia" w:eastAsiaTheme="minorEastAsia" w:cstheme="minorEastAsia"/>
          <w:b/>
          <w:bCs/>
          <w:sz w:val="21"/>
          <w:szCs w:val="21"/>
          <w:lang w:eastAsia="zh-CN"/>
        </w:rPr>
      </w:pPr>
    </w:p>
    <w:p w14:paraId="77823400">
      <w:pPr>
        <w:pStyle w:val="3"/>
        <w:keepNext w:val="0"/>
        <w:keepLines w:val="0"/>
        <w:pageBreakBefore w:val="0"/>
        <w:widowControl w:val="0"/>
        <w:kinsoku/>
        <w:wordWrap/>
        <w:overflowPunct/>
        <w:topLinePunct w:val="0"/>
        <w:autoSpaceDE/>
        <w:autoSpaceDN/>
        <w:bidi w:val="0"/>
        <w:adjustRightInd/>
        <w:snapToGrid/>
        <w:spacing w:after="0"/>
        <w:ind w:left="0" w:leftChars="0" w:firstLine="0" w:firstLineChars="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sz w:val="24"/>
          <w:szCs w:val="24"/>
          <w:lang w:eastAsia="zh-CN"/>
        </w:rPr>
        <w:t>2、商务项(30分)</w:t>
      </w:r>
    </w:p>
    <w:tbl>
      <w:tblPr>
        <w:tblStyle w:val="8"/>
        <w:tblW w:w="9087"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8196"/>
        <w:gridCol w:w="891"/>
      </w:tblGrid>
      <w:tr w14:paraId="730282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exact"/>
          <w:tblHeader/>
        </w:trPr>
        <w:tc>
          <w:tcPr>
            <w:tcW w:w="8196" w:type="dxa"/>
            <w:vAlign w:val="center"/>
          </w:tcPr>
          <w:p w14:paraId="1DADCCDE">
            <w:pPr>
              <w:pStyle w:val="7"/>
              <w:keepNext w:val="0"/>
              <w:keepLines w:val="0"/>
              <w:pageBreakBefore w:val="0"/>
              <w:widowControl w:val="0"/>
              <w:kinsoku/>
              <w:wordWrap/>
              <w:overflowPunct/>
              <w:topLinePunct w:val="0"/>
              <w:autoSpaceDE/>
              <w:autoSpaceDN/>
              <w:bidi w:val="0"/>
              <w:adjustRightInd/>
              <w:snapToGrid w:val="0"/>
              <w:spacing w:line="240" w:lineRule="auto"/>
              <w:ind w:left="0"/>
              <w:jc w:val="center"/>
              <w:textAlignment w:val="auto"/>
              <w:rPr>
                <w:rFonts w:hint="eastAsia" w:asciiTheme="minorEastAsia" w:hAnsiTheme="minorEastAsia" w:eastAsiaTheme="minorEastAsia" w:cstheme="minorEastAsia"/>
                <w:b/>
                <w:bCs/>
                <w:color w:val="auto"/>
                <w:spacing w:val="1"/>
                <w:sz w:val="21"/>
                <w:szCs w:val="21"/>
              </w:rPr>
            </w:pPr>
            <w:r>
              <w:rPr>
                <w:rFonts w:hint="eastAsia" w:asciiTheme="minorEastAsia" w:hAnsiTheme="minorEastAsia" w:eastAsiaTheme="minorEastAsia" w:cstheme="minorEastAsia"/>
                <w:b/>
                <w:bCs/>
                <w:color w:val="auto"/>
                <w:spacing w:val="1"/>
                <w:sz w:val="21"/>
                <w:szCs w:val="21"/>
              </w:rPr>
              <w:t>比选内容及标准</w:t>
            </w:r>
          </w:p>
        </w:tc>
        <w:tc>
          <w:tcPr>
            <w:tcW w:w="891" w:type="dxa"/>
            <w:tcBorders>
              <w:right w:val="single" w:color="000000" w:sz="2" w:space="0"/>
            </w:tcBorders>
            <w:vAlign w:val="center"/>
          </w:tcPr>
          <w:p w14:paraId="064A562C">
            <w:pPr>
              <w:pStyle w:val="7"/>
              <w:keepNext w:val="0"/>
              <w:keepLines w:val="0"/>
              <w:pageBreakBefore w:val="0"/>
              <w:widowControl w:val="0"/>
              <w:kinsoku/>
              <w:wordWrap/>
              <w:overflowPunct/>
              <w:topLinePunct w:val="0"/>
              <w:autoSpaceDE/>
              <w:autoSpaceDN/>
              <w:bidi w:val="0"/>
              <w:adjustRightInd/>
              <w:snapToGrid w:val="0"/>
              <w:spacing w:line="240" w:lineRule="auto"/>
              <w:ind w:left="0"/>
              <w:jc w:val="center"/>
              <w:textAlignment w:val="auto"/>
              <w:rPr>
                <w:rFonts w:hint="eastAsia" w:asciiTheme="minorEastAsia" w:hAnsiTheme="minorEastAsia" w:eastAsiaTheme="minorEastAsia" w:cstheme="minorEastAsia"/>
                <w:b/>
                <w:bCs/>
                <w:color w:val="auto"/>
                <w:spacing w:val="1"/>
                <w:sz w:val="21"/>
                <w:szCs w:val="21"/>
              </w:rPr>
            </w:pPr>
            <w:r>
              <w:rPr>
                <w:rFonts w:hint="eastAsia" w:asciiTheme="minorEastAsia" w:hAnsiTheme="minorEastAsia" w:eastAsiaTheme="minorEastAsia" w:cstheme="minorEastAsia"/>
                <w:b/>
                <w:bCs/>
                <w:color w:val="auto"/>
                <w:spacing w:val="1"/>
                <w:sz w:val="21"/>
                <w:szCs w:val="21"/>
              </w:rPr>
              <w:t>分值</w:t>
            </w:r>
          </w:p>
        </w:tc>
      </w:tr>
      <w:tr w14:paraId="28B853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15" w:hRule="exact"/>
        </w:trPr>
        <w:tc>
          <w:tcPr>
            <w:tcW w:w="8196" w:type="dxa"/>
            <w:vAlign w:val="center"/>
          </w:tcPr>
          <w:p w14:paraId="0617434D">
            <w:pPr>
              <w:pStyle w:val="7"/>
              <w:spacing w:before="27" w:line="198" w:lineRule="auto"/>
              <w:ind w:left="14" w:right="4538"/>
              <w:jc w:val="both"/>
              <w:rPr>
                <w:color w:val="auto"/>
                <w:spacing w:val="17"/>
                <w:sz w:val="21"/>
                <w:szCs w:val="21"/>
                <w:lang w:eastAsia="zh-CN"/>
              </w:rPr>
            </w:pPr>
            <w:r>
              <w:rPr>
                <w:color w:val="auto"/>
                <w:spacing w:val="-1"/>
                <w:sz w:val="21"/>
                <w:szCs w:val="21"/>
                <w:lang w:eastAsia="zh-CN"/>
              </w:rPr>
              <w:t>参选企业注册资金≥1000万，得2分，</w:t>
            </w:r>
            <w:r>
              <w:rPr>
                <w:color w:val="auto"/>
                <w:spacing w:val="17"/>
                <w:sz w:val="21"/>
                <w:szCs w:val="21"/>
                <w:lang w:eastAsia="zh-CN"/>
              </w:rPr>
              <w:t xml:space="preserve"> </w:t>
            </w:r>
          </w:p>
          <w:p w14:paraId="280BBCA4">
            <w:pPr>
              <w:pStyle w:val="7"/>
              <w:spacing w:before="27" w:line="198" w:lineRule="auto"/>
              <w:ind w:right="4538"/>
              <w:jc w:val="both"/>
              <w:rPr>
                <w:color w:val="auto"/>
                <w:sz w:val="21"/>
                <w:szCs w:val="21"/>
                <w:lang w:eastAsia="zh-CN"/>
              </w:rPr>
            </w:pPr>
            <w:r>
              <w:rPr>
                <w:color w:val="auto"/>
                <w:sz w:val="21"/>
                <w:szCs w:val="21"/>
                <w:lang w:eastAsia="zh-CN"/>
              </w:rPr>
              <w:t>500万≤注册资金&lt;1000万，得1分，</w:t>
            </w:r>
          </w:p>
          <w:p w14:paraId="29B921DF">
            <w:pPr>
              <w:pStyle w:val="7"/>
              <w:keepNext w:val="0"/>
              <w:keepLines w:val="0"/>
              <w:pageBreakBefore w:val="0"/>
              <w:widowControl w:val="0"/>
              <w:kinsoku/>
              <w:wordWrap/>
              <w:overflowPunct/>
              <w:topLinePunct w:val="0"/>
              <w:autoSpaceDE/>
              <w:autoSpaceDN/>
              <w:bidi w:val="0"/>
              <w:adjustRightInd/>
              <w:snapToGrid w:val="0"/>
              <w:spacing w:line="240" w:lineRule="auto"/>
              <w:ind w:left="0" w:right="0"/>
              <w:textAlignment w:val="auto"/>
              <w:rPr>
                <w:rFonts w:hint="eastAsia" w:asciiTheme="minorEastAsia" w:hAnsiTheme="minorEastAsia" w:eastAsiaTheme="minorEastAsia" w:cstheme="minorEastAsia"/>
                <w:color w:val="auto"/>
                <w:sz w:val="21"/>
                <w:szCs w:val="21"/>
                <w:lang w:val="en-US" w:eastAsia="zh-CN"/>
              </w:rPr>
            </w:pPr>
            <w:r>
              <w:rPr>
                <w:color w:val="auto"/>
                <w:spacing w:val="-1"/>
                <w:sz w:val="21"/>
                <w:szCs w:val="21"/>
              </w:rPr>
              <w:t>&lt;500万，不得分。</w:t>
            </w:r>
          </w:p>
        </w:tc>
        <w:tc>
          <w:tcPr>
            <w:tcW w:w="891" w:type="dxa"/>
            <w:tcBorders>
              <w:right w:val="single" w:color="000000" w:sz="2" w:space="0"/>
            </w:tcBorders>
            <w:vAlign w:val="center"/>
          </w:tcPr>
          <w:p w14:paraId="7E6B1940">
            <w:pPr>
              <w:pStyle w:val="7"/>
              <w:keepNext w:val="0"/>
              <w:keepLines w:val="0"/>
              <w:pageBreakBefore w:val="0"/>
              <w:widowControl w:val="0"/>
              <w:kinsoku/>
              <w:wordWrap/>
              <w:overflowPunct/>
              <w:topLinePunct w:val="0"/>
              <w:autoSpaceDE/>
              <w:autoSpaceDN/>
              <w:bidi w:val="0"/>
              <w:adjustRightInd/>
              <w:snapToGrid w:val="0"/>
              <w:spacing w:line="240" w:lineRule="auto"/>
              <w:ind w:left="0" w:right="0"/>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2分</w:t>
            </w:r>
          </w:p>
        </w:tc>
      </w:tr>
      <w:tr w14:paraId="2D2B5A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exact"/>
        </w:trPr>
        <w:tc>
          <w:tcPr>
            <w:tcW w:w="8196" w:type="dxa"/>
            <w:vAlign w:val="center"/>
          </w:tcPr>
          <w:p w14:paraId="36EC0EAC">
            <w:pPr>
              <w:pStyle w:val="7"/>
              <w:keepNext w:val="0"/>
              <w:keepLines w:val="0"/>
              <w:pageBreakBefore w:val="0"/>
              <w:widowControl w:val="0"/>
              <w:kinsoku/>
              <w:wordWrap/>
              <w:overflowPunct/>
              <w:topLinePunct w:val="0"/>
              <w:autoSpaceDE/>
              <w:autoSpaceDN/>
              <w:bidi w:val="0"/>
              <w:adjustRightInd/>
              <w:snapToGrid w:val="0"/>
              <w:spacing w:line="240" w:lineRule="auto"/>
              <w:ind w:left="0" w:right="0"/>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参选单位具备风险评估三级认证(需提供相关证明材料)。</w:t>
            </w:r>
          </w:p>
        </w:tc>
        <w:tc>
          <w:tcPr>
            <w:tcW w:w="891" w:type="dxa"/>
            <w:vMerge w:val="restart"/>
            <w:tcBorders>
              <w:bottom w:val="nil"/>
              <w:right w:val="single" w:color="000000" w:sz="2" w:space="0"/>
            </w:tcBorders>
            <w:vAlign w:val="center"/>
          </w:tcPr>
          <w:p w14:paraId="40CB89E5">
            <w:pPr>
              <w:pStyle w:val="7"/>
              <w:keepNext w:val="0"/>
              <w:keepLines w:val="0"/>
              <w:pageBreakBefore w:val="0"/>
              <w:widowControl w:val="0"/>
              <w:kinsoku/>
              <w:wordWrap/>
              <w:overflowPunct/>
              <w:topLinePunct w:val="0"/>
              <w:autoSpaceDE/>
              <w:autoSpaceDN/>
              <w:bidi w:val="0"/>
              <w:adjustRightInd/>
              <w:snapToGrid w:val="0"/>
              <w:spacing w:line="240" w:lineRule="auto"/>
              <w:ind w:left="0" w:right="0"/>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5分</w:t>
            </w:r>
          </w:p>
        </w:tc>
      </w:tr>
      <w:tr w14:paraId="5D884A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exact"/>
        </w:trPr>
        <w:tc>
          <w:tcPr>
            <w:tcW w:w="8196" w:type="dxa"/>
            <w:vAlign w:val="center"/>
          </w:tcPr>
          <w:p w14:paraId="00C874E9">
            <w:pPr>
              <w:pStyle w:val="7"/>
              <w:keepNext w:val="0"/>
              <w:keepLines w:val="0"/>
              <w:pageBreakBefore w:val="0"/>
              <w:widowControl w:val="0"/>
              <w:kinsoku/>
              <w:wordWrap/>
              <w:overflowPunct/>
              <w:topLinePunct w:val="0"/>
              <w:autoSpaceDE/>
              <w:autoSpaceDN/>
              <w:bidi w:val="0"/>
              <w:adjustRightInd/>
              <w:snapToGrid w:val="0"/>
              <w:spacing w:line="240" w:lineRule="auto"/>
              <w:ind w:left="0" w:right="0"/>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具备省级或以上网络与信息安全信息通报中心支撑单位证书(需提供相关证明材料)。</w:t>
            </w:r>
          </w:p>
        </w:tc>
        <w:tc>
          <w:tcPr>
            <w:tcW w:w="891" w:type="dxa"/>
            <w:vMerge w:val="continue"/>
            <w:tcBorders>
              <w:top w:val="nil"/>
              <w:bottom w:val="nil"/>
              <w:right w:val="single" w:color="000000" w:sz="2" w:space="0"/>
            </w:tcBorders>
            <w:vAlign w:val="center"/>
          </w:tcPr>
          <w:p w14:paraId="0050AB26">
            <w:pPr>
              <w:pStyle w:val="7"/>
              <w:keepNext w:val="0"/>
              <w:keepLines w:val="0"/>
              <w:pageBreakBefore w:val="0"/>
              <w:widowControl w:val="0"/>
              <w:kinsoku/>
              <w:wordWrap/>
              <w:overflowPunct/>
              <w:topLinePunct w:val="0"/>
              <w:autoSpaceDE/>
              <w:autoSpaceDN/>
              <w:bidi w:val="0"/>
              <w:adjustRightInd/>
              <w:snapToGrid w:val="0"/>
              <w:spacing w:line="240" w:lineRule="auto"/>
              <w:ind w:left="0" w:right="0"/>
              <w:jc w:val="center"/>
              <w:textAlignment w:val="auto"/>
              <w:rPr>
                <w:rFonts w:hint="eastAsia" w:asciiTheme="minorEastAsia" w:hAnsiTheme="minorEastAsia" w:eastAsiaTheme="minorEastAsia" w:cstheme="minorEastAsia"/>
                <w:color w:val="auto"/>
                <w:sz w:val="21"/>
                <w:szCs w:val="21"/>
                <w:lang w:val="en-US" w:eastAsia="zh-CN"/>
              </w:rPr>
            </w:pPr>
          </w:p>
        </w:tc>
      </w:tr>
      <w:tr w14:paraId="0F9F1C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exact"/>
        </w:trPr>
        <w:tc>
          <w:tcPr>
            <w:tcW w:w="8196" w:type="dxa"/>
            <w:vAlign w:val="center"/>
          </w:tcPr>
          <w:p w14:paraId="4547DD41">
            <w:pPr>
              <w:pStyle w:val="7"/>
              <w:keepNext w:val="0"/>
              <w:keepLines w:val="0"/>
              <w:pageBreakBefore w:val="0"/>
              <w:widowControl w:val="0"/>
              <w:kinsoku/>
              <w:wordWrap/>
              <w:overflowPunct/>
              <w:topLinePunct w:val="0"/>
              <w:autoSpaceDE/>
              <w:autoSpaceDN/>
              <w:bidi w:val="0"/>
              <w:adjustRightInd/>
              <w:snapToGrid w:val="0"/>
              <w:spacing w:line="240" w:lineRule="auto"/>
              <w:ind w:left="0" w:right="0"/>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具备安全运维三级认证情况(需提供相关证明材料)。</w:t>
            </w:r>
          </w:p>
        </w:tc>
        <w:tc>
          <w:tcPr>
            <w:tcW w:w="891" w:type="dxa"/>
            <w:vMerge w:val="continue"/>
            <w:tcBorders>
              <w:top w:val="nil"/>
              <w:right w:val="single" w:color="000000" w:sz="2" w:space="0"/>
            </w:tcBorders>
            <w:vAlign w:val="center"/>
          </w:tcPr>
          <w:p w14:paraId="73B3E940">
            <w:pPr>
              <w:pStyle w:val="7"/>
              <w:keepNext w:val="0"/>
              <w:keepLines w:val="0"/>
              <w:pageBreakBefore w:val="0"/>
              <w:widowControl w:val="0"/>
              <w:kinsoku/>
              <w:wordWrap/>
              <w:overflowPunct/>
              <w:topLinePunct w:val="0"/>
              <w:autoSpaceDE/>
              <w:autoSpaceDN/>
              <w:bidi w:val="0"/>
              <w:adjustRightInd/>
              <w:snapToGrid w:val="0"/>
              <w:spacing w:line="240" w:lineRule="auto"/>
              <w:ind w:left="0" w:right="0"/>
              <w:jc w:val="center"/>
              <w:textAlignment w:val="auto"/>
              <w:rPr>
                <w:rFonts w:hint="eastAsia" w:asciiTheme="minorEastAsia" w:hAnsiTheme="minorEastAsia" w:eastAsiaTheme="minorEastAsia" w:cstheme="minorEastAsia"/>
                <w:color w:val="auto"/>
                <w:sz w:val="21"/>
                <w:szCs w:val="21"/>
                <w:lang w:val="en-US" w:eastAsia="zh-CN"/>
              </w:rPr>
            </w:pPr>
          </w:p>
        </w:tc>
      </w:tr>
      <w:tr w14:paraId="0526A3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exact"/>
        </w:trPr>
        <w:tc>
          <w:tcPr>
            <w:tcW w:w="8196" w:type="dxa"/>
            <w:vAlign w:val="center"/>
          </w:tcPr>
          <w:p w14:paraId="1694E795">
            <w:pPr>
              <w:pStyle w:val="7"/>
              <w:keepNext w:val="0"/>
              <w:keepLines w:val="0"/>
              <w:pageBreakBefore w:val="0"/>
              <w:widowControl w:val="0"/>
              <w:kinsoku/>
              <w:wordWrap/>
              <w:overflowPunct/>
              <w:topLinePunct w:val="0"/>
              <w:autoSpaceDE/>
              <w:autoSpaceDN/>
              <w:bidi w:val="0"/>
              <w:adjustRightInd/>
              <w:snapToGrid w:val="0"/>
              <w:spacing w:line="240" w:lineRule="auto"/>
              <w:ind w:left="0" w:right="0"/>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在本项目实施过程中人员配备情况(需提供相关证明材料)。</w:t>
            </w:r>
          </w:p>
        </w:tc>
        <w:tc>
          <w:tcPr>
            <w:tcW w:w="891" w:type="dxa"/>
            <w:tcBorders>
              <w:right w:val="single" w:color="000000" w:sz="2" w:space="0"/>
            </w:tcBorders>
            <w:vAlign w:val="center"/>
          </w:tcPr>
          <w:p w14:paraId="59220C06">
            <w:pPr>
              <w:pStyle w:val="7"/>
              <w:keepNext w:val="0"/>
              <w:keepLines w:val="0"/>
              <w:pageBreakBefore w:val="0"/>
              <w:widowControl w:val="0"/>
              <w:kinsoku/>
              <w:wordWrap/>
              <w:overflowPunct/>
              <w:topLinePunct w:val="0"/>
              <w:autoSpaceDE/>
              <w:autoSpaceDN/>
              <w:bidi w:val="0"/>
              <w:adjustRightInd/>
              <w:snapToGrid w:val="0"/>
              <w:spacing w:line="240" w:lineRule="auto"/>
              <w:ind w:left="0" w:right="0"/>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3分</w:t>
            </w:r>
          </w:p>
        </w:tc>
      </w:tr>
      <w:tr w14:paraId="04D993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7" w:hRule="exact"/>
        </w:trPr>
        <w:tc>
          <w:tcPr>
            <w:tcW w:w="8196" w:type="dxa"/>
            <w:vAlign w:val="center"/>
          </w:tcPr>
          <w:p w14:paraId="5C5F7E01">
            <w:pPr>
              <w:pStyle w:val="7"/>
              <w:keepNext w:val="0"/>
              <w:keepLines w:val="0"/>
              <w:pageBreakBefore w:val="0"/>
              <w:widowControl w:val="0"/>
              <w:kinsoku/>
              <w:wordWrap/>
              <w:overflowPunct/>
              <w:topLinePunct w:val="0"/>
              <w:autoSpaceDE/>
              <w:autoSpaceDN/>
              <w:bidi w:val="0"/>
              <w:adjustRightInd/>
              <w:snapToGrid w:val="0"/>
              <w:spacing w:line="240" w:lineRule="auto"/>
              <w:ind w:left="0" w:right="0"/>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为保障项目实施顺利，提供与漳州片仔癀药业股份有限公司及其下属公司的合同或其他 合作证明材料(需提供相关证明材料)。</w:t>
            </w:r>
          </w:p>
        </w:tc>
        <w:tc>
          <w:tcPr>
            <w:tcW w:w="891" w:type="dxa"/>
            <w:tcBorders>
              <w:right w:val="single" w:color="000000" w:sz="2" w:space="0"/>
            </w:tcBorders>
            <w:vAlign w:val="center"/>
          </w:tcPr>
          <w:p w14:paraId="0C9DBC4B">
            <w:pPr>
              <w:pStyle w:val="7"/>
              <w:keepNext w:val="0"/>
              <w:keepLines w:val="0"/>
              <w:pageBreakBefore w:val="0"/>
              <w:widowControl w:val="0"/>
              <w:kinsoku/>
              <w:wordWrap/>
              <w:overflowPunct/>
              <w:topLinePunct w:val="0"/>
              <w:autoSpaceDE/>
              <w:autoSpaceDN/>
              <w:bidi w:val="0"/>
              <w:adjustRightInd/>
              <w:snapToGrid w:val="0"/>
              <w:spacing w:line="240" w:lineRule="auto"/>
              <w:ind w:left="0" w:right="0"/>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2分</w:t>
            </w:r>
          </w:p>
        </w:tc>
      </w:tr>
      <w:tr w14:paraId="6092CB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7" w:hRule="exact"/>
        </w:trPr>
        <w:tc>
          <w:tcPr>
            <w:tcW w:w="8196" w:type="dxa"/>
            <w:vAlign w:val="center"/>
          </w:tcPr>
          <w:p w14:paraId="058BEC28">
            <w:pPr>
              <w:pStyle w:val="7"/>
              <w:keepNext w:val="0"/>
              <w:keepLines w:val="0"/>
              <w:pageBreakBefore w:val="0"/>
              <w:widowControl w:val="0"/>
              <w:kinsoku/>
              <w:wordWrap/>
              <w:overflowPunct/>
              <w:topLinePunct w:val="0"/>
              <w:autoSpaceDE/>
              <w:autoSpaceDN/>
              <w:bidi w:val="0"/>
              <w:adjustRightInd/>
              <w:snapToGrid w:val="0"/>
              <w:spacing w:line="240" w:lineRule="auto"/>
              <w:ind w:left="0" w:right="0"/>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为了保证项目的顺利实施，确保项目质量达到预期目标，等保测评人员要求情况(需提供相关证明材料)。</w:t>
            </w:r>
          </w:p>
        </w:tc>
        <w:tc>
          <w:tcPr>
            <w:tcW w:w="891" w:type="dxa"/>
            <w:tcBorders>
              <w:right w:val="single" w:color="000000" w:sz="2" w:space="0"/>
            </w:tcBorders>
            <w:vAlign w:val="center"/>
          </w:tcPr>
          <w:p w14:paraId="128260A8">
            <w:pPr>
              <w:pStyle w:val="7"/>
              <w:keepNext w:val="0"/>
              <w:keepLines w:val="0"/>
              <w:pageBreakBefore w:val="0"/>
              <w:widowControl w:val="0"/>
              <w:kinsoku/>
              <w:wordWrap/>
              <w:overflowPunct/>
              <w:topLinePunct w:val="0"/>
              <w:autoSpaceDE/>
              <w:autoSpaceDN/>
              <w:bidi w:val="0"/>
              <w:adjustRightInd/>
              <w:snapToGrid w:val="0"/>
              <w:spacing w:line="240" w:lineRule="auto"/>
              <w:ind w:left="0" w:right="0"/>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6分</w:t>
            </w:r>
          </w:p>
        </w:tc>
      </w:tr>
      <w:tr w14:paraId="667546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7" w:hRule="exact"/>
        </w:trPr>
        <w:tc>
          <w:tcPr>
            <w:tcW w:w="8196" w:type="dxa"/>
            <w:vAlign w:val="center"/>
          </w:tcPr>
          <w:p w14:paraId="0B8B9DD9">
            <w:pPr>
              <w:pStyle w:val="7"/>
              <w:keepNext w:val="0"/>
              <w:keepLines w:val="0"/>
              <w:pageBreakBefore w:val="0"/>
              <w:widowControl w:val="0"/>
              <w:kinsoku/>
              <w:wordWrap/>
              <w:overflowPunct/>
              <w:topLinePunct w:val="0"/>
              <w:autoSpaceDE/>
              <w:autoSpaceDN/>
              <w:bidi w:val="0"/>
              <w:adjustRightInd/>
              <w:snapToGrid w:val="0"/>
              <w:spacing w:line="240" w:lineRule="auto"/>
              <w:ind w:left="0" w:right="0"/>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为保证测评现场具有应急技术处理能力，供应商所采用测评机构须获得过系统备案地所在省市级或市级以上网安或网信的技术支撑单位聘书(需提供相关证明材料)。</w:t>
            </w:r>
          </w:p>
        </w:tc>
        <w:tc>
          <w:tcPr>
            <w:tcW w:w="891" w:type="dxa"/>
            <w:tcBorders>
              <w:right w:val="single" w:color="000000" w:sz="2" w:space="0"/>
            </w:tcBorders>
            <w:vAlign w:val="center"/>
          </w:tcPr>
          <w:p w14:paraId="618639C8">
            <w:pPr>
              <w:pStyle w:val="7"/>
              <w:keepNext w:val="0"/>
              <w:keepLines w:val="0"/>
              <w:pageBreakBefore w:val="0"/>
              <w:widowControl w:val="0"/>
              <w:kinsoku/>
              <w:wordWrap/>
              <w:overflowPunct/>
              <w:topLinePunct w:val="0"/>
              <w:autoSpaceDE/>
              <w:autoSpaceDN/>
              <w:bidi w:val="0"/>
              <w:adjustRightInd/>
              <w:snapToGrid w:val="0"/>
              <w:spacing w:line="240" w:lineRule="auto"/>
              <w:ind w:left="0" w:right="0"/>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6分</w:t>
            </w:r>
          </w:p>
        </w:tc>
      </w:tr>
      <w:tr w14:paraId="0ECD90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7" w:hRule="exact"/>
        </w:trPr>
        <w:tc>
          <w:tcPr>
            <w:tcW w:w="8196" w:type="dxa"/>
            <w:vAlign w:val="center"/>
          </w:tcPr>
          <w:p w14:paraId="5E7B8F7C">
            <w:pPr>
              <w:pStyle w:val="7"/>
              <w:keepNext w:val="0"/>
              <w:keepLines w:val="0"/>
              <w:pageBreakBefore w:val="0"/>
              <w:widowControl w:val="0"/>
              <w:kinsoku/>
              <w:wordWrap/>
              <w:overflowPunct/>
              <w:topLinePunct w:val="0"/>
              <w:autoSpaceDE/>
              <w:autoSpaceDN/>
              <w:bidi w:val="0"/>
              <w:adjustRightInd/>
              <w:snapToGrid w:val="0"/>
              <w:spacing w:line="240" w:lineRule="auto"/>
              <w:ind w:left="0" w:right="0"/>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在本项目实施过程中组员要求：项目组成员具有至少两份CISP认证，CISP认证项目经理须具备PMP认证与CISP认证（相关人员需提供近三月社保证明，否则不记入有效人员）。</w:t>
            </w:r>
          </w:p>
        </w:tc>
        <w:tc>
          <w:tcPr>
            <w:tcW w:w="891" w:type="dxa"/>
            <w:tcBorders>
              <w:right w:val="single" w:color="000000" w:sz="2" w:space="0"/>
            </w:tcBorders>
            <w:vAlign w:val="center"/>
          </w:tcPr>
          <w:p w14:paraId="730E59EE">
            <w:pPr>
              <w:pStyle w:val="7"/>
              <w:keepNext w:val="0"/>
              <w:keepLines w:val="0"/>
              <w:pageBreakBefore w:val="0"/>
              <w:widowControl w:val="0"/>
              <w:kinsoku/>
              <w:wordWrap/>
              <w:overflowPunct/>
              <w:topLinePunct w:val="0"/>
              <w:autoSpaceDE/>
              <w:autoSpaceDN/>
              <w:bidi w:val="0"/>
              <w:adjustRightInd/>
              <w:snapToGrid w:val="0"/>
              <w:spacing w:line="240" w:lineRule="auto"/>
              <w:ind w:left="0" w:right="0"/>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6分</w:t>
            </w:r>
          </w:p>
        </w:tc>
      </w:tr>
    </w:tbl>
    <w:p w14:paraId="055484C6">
      <w:pPr>
        <w:pStyle w:val="3"/>
        <w:keepNext w:val="0"/>
        <w:keepLines w:val="0"/>
        <w:pageBreakBefore w:val="0"/>
        <w:widowControl w:val="0"/>
        <w:kinsoku/>
        <w:wordWrap/>
        <w:overflowPunct/>
        <w:topLinePunct w:val="0"/>
        <w:autoSpaceDE/>
        <w:autoSpaceDN/>
        <w:bidi w:val="0"/>
        <w:adjustRightInd/>
        <w:snapToGrid/>
        <w:spacing w:after="0"/>
        <w:ind w:left="0" w:leftChars="0" w:firstLine="0" w:firstLineChars="0"/>
        <w:textAlignment w:val="auto"/>
        <w:rPr>
          <w:rFonts w:hint="eastAsia" w:asciiTheme="minorEastAsia" w:hAnsiTheme="minorEastAsia" w:eastAsiaTheme="minorEastAsia" w:cstheme="minorEastAsia"/>
          <w:b/>
          <w:bCs/>
          <w:sz w:val="24"/>
          <w:szCs w:val="24"/>
          <w:lang w:eastAsia="zh-CN"/>
        </w:rPr>
      </w:pPr>
    </w:p>
    <w:p w14:paraId="1D16F0D6">
      <w:pPr>
        <w:pStyle w:val="3"/>
        <w:keepNext w:val="0"/>
        <w:keepLines w:val="0"/>
        <w:pageBreakBefore w:val="0"/>
        <w:widowControl w:val="0"/>
        <w:kinsoku/>
        <w:wordWrap/>
        <w:overflowPunct/>
        <w:topLinePunct w:val="0"/>
        <w:autoSpaceDE/>
        <w:autoSpaceDN/>
        <w:bidi w:val="0"/>
        <w:adjustRightInd/>
        <w:snapToGrid/>
        <w:spacing w:after="0"/>
        <w:ind w:left="0" w:leftChars="0" w:firstLine="0" w:firstLineChars="0"/>
        <w:textAlignment w:val="auto"/>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3、技术项(35分)</w:t>
      </w:r>
    </w:p>
    <w:p w14:paraId="6FCC4C4B">
      <w:pPr>
        <w:spacing w:line="25" w:lineRule="exact"/>
        <w:rPr>
          <w:rFonts w:hint="eastAsia" w:asciiTheme="minorEastAsia" w:hAnsiTheme="minorEastAsia" w:eastAsiaTheme="minorEastAsia" w:cstheme="minorEastAsia"/>
          <w:color w:val="auto"/>
          <w:sz w:val="21"/>
          <w:szCs w:val="21"/>
        </w:rPr>
      </w:pPr>
    </w:p>
    <w:tbl>
      <w:tblPr>
        <w:tblStyle w:val="8"/>
        <w:tblW w:w="9087"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04"/>
        <w:gridCol w:w="883"/>
      </w:tblGrid>
      <w:tr w14:paraId="575B54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8204" w:type="dxa"/>
            <w:vAlign w:val="center"/>
          </w:tcPr>
          <w:p w14:paraId="300951DD">
            <w:pPr>
              <w:pStyle w:val="7"/>
              <w:keepNext w:val="0"/>
              <w:keepLines w:val="0"/>
              <w:pageBreakBefore w:val="0"/>
              <w:widowControl w:val="0"/>
              <w:kinsoku/>
              <w:wordWrap/>
              <w:overflowPunct/>
              <w:topLinePunct w:val="0"/>
              <w:autoSpaceDE/>
              <w:autoSpaceDN/>
              <w:bidi w:val="0"/>
              <w:adjustRightInd/>
              <w:snapToGrid w:val="0"/>
              <w:spacing w:line="240" w:lineRule="auto"/>
              <w:ind w:left="0"/>
              <w:jc w:val="center"/>
              <w:textAlignment w:val="auto"/>
              <w:rPr>
                <w:rFonts w:hint="eastAsia" w:asciiTheme="minorEastAsia" w:hAnsiTheme="minorEastAsia" w:eastAsiaTheme="minorEastAsia" w:cstheme="minorEastAsia"/>
                <w:b/>
                <w:bCs/>
                <w:color w:val="auto"/>
                <w:spacing w:val="1"/>
                <w:sz w:val="21"/>
                <w:szCs w:val="21"/>
              </w:rPr>
            </w:pPr>
            <w:r>
              <w:rPr>
                <w:rFonts w:hint="eastAsia" w:asciiTheme="minorEastAsia" w:hAnsiTheme="minorEastAsia" w:eastAsiaTheme="minorEastAsia" w:cstheme="minorEastAsia"/>
                <w:b/>
                <w:bCs/>
                <w:color w:val="auto"/>
                <w:spacing w:val="1"/>
                <w:sz w:val="21"/>
                <w:szCs w:val="21"/>
              </w:rPr>
              <w:t>比选内容及标准</w:t>
            </w:r>
          </w:p>
        </w:tc>
        <w:tc>
          <w:tcPr>
            <w:tcW w:w="883" w:type="dxa"/>
            <w:vAlign w:val="center"/>
          </w:tcPr>
          <w:p w14:paraId="0D657B38">
            <w:pPr>
              <w:pStyle w:val="7"/>
              <w:keepNext w:val="0"/>
              <w:keepLines w:val="0"/>
              <w:pageBreakBefore w:val="0"/>
              <w:widowControl w:val="0"/>
              <w:kinsoku/>
              <w:wordWrap/>
              <w:overflowPunct/>
              <w:topLinePunct w:val="0"/>
              <w:autoSpaceDE/>
              <w:autoSpaceDN/>
              <w:bidi w:val="0"/>
              <w:adjustRightInd/>
              <w:snapToGrid w:val="0"/>
              <w:spacing w:line="240" w:lineRule="auto"/>
              <w:ind w:left="0"/>
              <w:jc w:val="center"/>
              <w:textAlignment w:val="auto"/>
              <w:rPr>
                <w:rFonts w:hint="eastAsia" w:asciiTheme="minorEastAsia" w:hAnsiTheme="minorEastAsia" w:eastAsiaTheme="minorEastAsia" w:cstheme="minorEastAsia"/>
                <w:b/>
                <w:bCs/>
                <w:color w:val="auto"/>
                <w:spacing w:val="1"/>
                <w:sz w:val="21"/>
                <w:szCs w:val="21"/>
              </w:rPr>
            </w:pPr>
            <w:r>
              <w:rPr>
                <w:rFonts w:hint="eastAsia" w:asciiTheme="minorEastAsia" w:hAnsiTheme="minorEastAsia" w:eastAsiaTheme="minorEastAsia" w:cstheme="minorEastAsia"/>
                <w:b/>
                <w:bCs/>
                <w:color w:val="auto"/>
                <w:spacing w:val="1"/>
                <w:sz w:val="21"/>
                <w:szCs w:val="21"/>
              </w:rPr>
              <w:t>分值</w:t>
            </w:r>
          </w:p>
        </w:tc>
      </w:tr>
      <w:tr w14:paraId="6BBC23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5" w:hRule="atLeast"/>
        </w:trPr>
        <w:tc>
          <w:tcPr>
            <w:tcW w:w="8204" w:type="dxa"/>
            <w:vAlign w:val="center"/>
          </w:tcPr>
          <w:p w14:paraId="2426C8E9">
            <w:pPr>
              <w:pStyle w:val="7"/>
              <w:keepNext w:val="0"/>
              <w:keepLines w:val="0"/>
              <w:pageBreakBefore w:val="0"/>
              <w:widowControl w:val="0"/>
              <w:kinsoku/>
              <w:wordWrap/>
              <w:overflowPunct/>
              <w:topLinePunct w:val="0"/>
              <w:autoSpaceDE/>
              <w:autoSpaceDN/>
              <w:bidi w:val="0"/>
              <w:adjustRightInd/>
              <w:snapToGrid w:val="0"/>
              <w:spacing w:line="240" w:lineRule="auto"/>
              <w:ind w:left="0" w:right="0"/>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提供项目解决方案，包括但不限于如下几点：项目背景与目标、需求分析、解决方案设计、风险管理、测试与验收、部署与维护、文档与培训。</w:t>
            </w:r>
          </w:p>
        </w:tc>
        <w:tc>
          <w:tcPr>
            <w:tcW w:w="883" w:type="dxa"/>
            <w:vAlign w:val="center"/>
          </w:tcPr>
          <w:p w14:paraId="0811E2C2">
            <w:pPr>
              <w:pStyle w:val="7"/>
              <w:keepNext w:val="0"/>
              <w:keepLines w:val="0"/>
              <w:pageBreakBefore w:val="0"/>
              <w:widowControl w:val="0"/>
              <w:kinsoku/>
              <w:wordWrap/>
              <w:overflowPunct/>
              <w:topLinePunct w:val="0"/>
              <w:autoSpaceDE/>
              <w:autoSpaceDN/>
              <w:bidi w:val="0"/>
              <w:adjustRightInd/>
              <w:snapToGrid w:val="0"/>
              <w:spacing w:line="240" w:lineRule="auto"/>
              <w:ind w:left="0" w:right="0"/>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5分</w:t>
            </w:r>
          </w:p>
        </w:tc>
      </w:tr>
      <w:tr w14:paraId="212C26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9" w:hRule="atLeast"/>
        </w:trPr>
        <w:tc>
          <w:tcPr>
            <w:tcW w:w="8204" w:type="dxa"/>
            <w:vAlign w:val="center"/>
          </w:tcPr>
          <w:p w14:paraId="17786F79">
            <w:pPr>
              <w:pStyle w:val="7"/>
              <w:keepNext w:val="0"/>
              <w:keepLines w:val="0"/>
              <w:pageBreakBefore w:val="0"/>
              <w:widowControl w:val="0"/>
              <w:kinsoku/>
              <w:wordWrap/>
              <w:overflowPunct/>
              <w:topLinePunct w:val="0"/>
              <w:autoSpaceDE/>
              <w:autoSpaceDN/>
              <w:bidi w:val="0"/>
              <w:adjustRightInd/>
              <w:snapToGrid w:val="0"/>
              <w:spacing w:line="240" w:lineRule="auto"/>
              <w:ind w:left="0" w:right="0"/>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提供项目实施计划，包括但不限于如下几点：项目概述、项目范围、资源管理、任务分解、风险管理、沟通计划、质量管理、交付与验收、维护与支持。</w:t>
            </w:r>
          </w:p>
        </w:tc>
        <w:tc>
          <w:tcPr>
            <w:tcW w:w="883" w:type="dxa"/>
            <w:vAlign w:val="center"/>
          </w:tcPr>
          <w:p w14:paraId="0D9D597D">
            <w:pPr>
              <w:pStyle w:val="7"/>
              <w:keepNext w:val="0"/>
              <w:keepLines w:val="0"/>
              <w:pageBreakBefore w:val="0"/>
              <w:widowControl w:val="0"/>
              <w:kinsoku/>
              <w:wordWrap/>
              <w:overflowPunct/>
              <w:topLinePunct w:val="0"/>
              <w:autoSpaceDE/>
              <w:autoSpaceDN/>
              <w:bidi w:val="0"/>
              <w:adjustRightInd/>
              <w:snapToGrid w:val="0"/>
              <w:spacing w:line="240" w:lineRule="auto"/>
              <w:ind w:left="0" w:right="0"/>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6分</w:t>
            </w:r>
          </w:p>
        </w:tc>
      </w:tr>
      <w:tr w14:paraId="33A5DB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31" w:hRule="atLeast"/>
        </w:trPr>
        <w:tc>
          <w:tcPr>
            <w:tcW w:w="8204" w:type="dxa"/>
            <w:vAlign w:val="center"/>
          </w:tcPr>
          <w:p w14:paraId="2E082C34">
            <w:pPr>
              <w:pStyle w:val="7"/>
              <w:keepNext w:val="0"/>
              <w:keepLines w:val="0"/>
              <w:pageBreakBefore w:val="0"/>
              <w:widowControl w:val="0"/>
              <w:kinsoku/>
              <w:wordWrap/>
              <w:overflowPunct/>
              <w:topLinePunct w:val="0"/>
              <w:autoSpaceDE/>
              <w:autoSpaceDN/>
              <w:bidi w:val="0"/>
              <w:adjustRightInd/>
              <w:snapToGrid w:val="0"/>
              <w:spacing w:line="240" w:lineRule="auto"/>
              <w:ind w:left="0" w:right="0"/>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参选人须注明本次渗透测试服务厂商（需提供服务厂商相关平台官网截图及网址并加盖投标人公章证明且必须持有厂商代理证书）：</w:t>
            </w:r>
          </w:p>
          <w:p w14:paraId="33F054D9">
            <w:pPr>
              <w:pStyle w:val="7"/>
              <w:keepNext w:val="0"/>
              <w:keepLines w:val="0"/>
              <w:pageBreakBefore w:val="0"/>
              <w:widowControl w:val="0"/>
              <w:kinsoku/>
              <w:wordWrap/>
              <w:overflowPunct/>
              <w:topLinePunct w:val="0"/>
              <w:autoSpaceDE/>
              <w:autoSpaceDN/>
              <w:bidi w:val="0"/>
              <w:adjustRightInd/>
              <w:snapToGrid w:val="0"/>
              <w:spacing w:line="240" w:lineRule="auto"/>
              <w:ind w:left="0" w:right="0"/>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（1）服务厂商须提供安全服务配套在线漏洞情报检索平台，支持关键漏洞≥1.9万、全量漏洞检索≥18万；</w:t>
            </w:r>
          </w:p>
          <w:p w14:paraId="135123A7">
            <w:pPr>
              <w:pStyle w:val="7"/>
              <w:keepNext w:val="0"/>
              <w:keepLines w:val="0"/>
              <w:pageBreakBefore w:val="0"/>
              <w:widowControl w:val="0"/>
              <w:kinsoku/>
              <w:wordWrap/>
              <w:overflowPunct/>
              <w:topLinePunct w:val="0"/>
              <w:autoSpaceDE/>
              <w:autoSpaceDN/>
              <w:bidi w:val="0"/>
              <w:adjustRightInd/>
              <w:snapToGrid w:val="0"/>
              <w:spacing w:line="240" w:lineRule="auto"/>
              <w:ind w:left="0" w:right="0"/>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（2）全量漏洞支持按照危险等级、补丁情况、POC|EXP、CVSS分数、漏洞年份、定级情况、关键漏洞、漏洞利用集成状态、漏洞收录时间、在野利用等15项查询条件进行查询。</w:t>
            </w:r>
          </w:p>
        </w:tc>
        <w:tc>
          <w:tcPr>
            <w:tcW w:w="883" w:type="dxa"/>
            <w:vAlign w:val="center"/>
          </w:tcPr>
          <w:p w14:paraId="34C749ED">
            <w:pPr>
              <w:pStyle w:val="7"/>
              <w:keepNext w:val="0"/>
              <w:keepLines w:val="0"/>
              <w:pageBreakBefore w:val="0"/>
              <w:widowControl w:val="0"/>
              <w:kinsoku/>
              <w:wordWrap/>
              <w:overflowPunct/>
              <w:topLinePunct w:val="0"/>
              <w:autoSpaceDE/>
              <w:autoSpaceDN/>
              <w:bidi w:val="0"/>
              <w:adjustRightInd/>
              <w:snapToGrid w:val="0"/>
              <w:spacing w:line="240" w:lineRule="auto"/>
              <w:ind w:left="0" w:right="0"/>
              <w:jc w:val="center"/>
              <w:textAlignment w:val="auto"/>
              <w:rPr>
                <w:rFonts w:hint="eastAsia" w:asciiTheme="minorEastAsia" w:hAnsiTheme="minorEastAsia" w:eastAsiaTheme="minorEastAsia" w:cstheme="minorEastAsia"/>
                <w:color w:val="auto"/>
                <w:sz w:val="21"/>
                <w:szCs w:val="21"/>
                <w:lang w:val="en-US" w:eastAsia="zh-CN"/>
              </w:rPr>
            </w:pPr>
          </w:p>
          <w:p w14:paraId="77B36241">
            <w:pPr>
              <w:pStyle w:val="7"/>
              <w:keepNext w:val="0"/>
              <w:keepLines w:val="0"/>
              <w:pageBreakBefore w:val="0"/>
              <w:widowControl w:val="0"/>
              <w:kinsoku/>
              <w:wordWrap/>
              <w:overflowPunct/>
              <w:topLinePunct w:val="0"/>
              <w:autoSpaceDE/>
              <w:autoSpaceDN/>
              <w:bidi w:val="0"/>
              <w:adjustRightInd/>
              <w:snapToGrid w:val="0"/>
              <w:spacing w:line="240" w:lineRule="auto"/>
              <w:ind w:left="0" w:right="0"/>
              <w:jc w:val="center"/>
              <w:textAlignment w:val="auto"/>
              <w:rPr>
                <w:rFonts w:hint="eastAsia" w:asciiTheme="minorEastAsia" w:hAnsiTheme="minorEastAsia" w:eastAsiaTheme="minorEastAsia" w:cstheme="minorEastAsia"/>
                <w:color w:val="auto"/>
                <w:sz w:val="21"/>
                <w:szCs w:val="21"/>
                <w:lang w:val="en-US" w:eastAsia="zh-CN"/>
              </w:rPr>
            </w:pPr>
          </w:p>
          <w:p w14:paraId="6053D329">
            <w:pPr>
              <w:pStyle w:val="7"/>
              <w:keepNext w:val="0"/>
              <w:keepLines w:val="0"/>
              <w:pageBreakBefore w:val="0"/>
              <w:widowControl w:val="0"/>
              <w:kinsoku/>
              <w:wordWrap/>
              <w:overflowPunct/>
              <w:topLinePunct w:val="0"/>
              <w:autoSpaceDE/>
              <w:autoSpaceDN/>
              <w:bidi w:val="0"/>
              <w:adjustRightInd/>
              <w:snapToGrid w:val="0"/>
              <w:spacing w:line="240" w:lineRule="auto"/>
              <w:ind w:left="0" w:right="0"/>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3分</w:t>
            </w:r>
          </w:p>
        </w:tc>
      </w:tr>
      <w:tr w14:paraId="5D00FA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88" w:hRule="atLeast"/>
        </w:trPr>
        <w:tc>
          <w:tcPr>
            <w:tcW w:w="8204" w:type="dxa"/>
            <w:vAlign w:val="center"/>
          </w:tcPr>
          <w:p w14:paraId="22EC06CA">
            <w:pPr>
              <w:pStyle w:val="7"/>
              <w:keepNext w:val="0"/>
              <w:keepLines w:val="0"/>
              <w:pageBreakBefore w:val="0"/>
              <w:widowControl w:val="0"/>
              <w:kinsoku/>
              <w:wordWrap/>
              <w:overflowPunct/>
              <w:topLinePunct w:val="0"/>
              <w:autoSpaceDE/>
              <w:autoSpaceDN/>
              <w:bidi w:val="0"/>
              <w:adjustRightInd/>
              <w:snapToGrid w:val="0"/>
              <w:spacing w:line="240" w:lineRule="auto"/>
              <w:ind w:left="0" w:right="0"/>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参选人使用的渗透工具应具有如下功能（应提供相关截图证明）：</w:t>
            </w:r>
          </w:p>
          <w:p w14:paraId="52982E61">
            <w:pPr>
              <w:pStyle w:val="7"/>
              <w:keepNext w:val="0"/>
              <w:keepLines w:val="0"/>
              <w:pageBreakBefore w:val="0"/>
              <w:widowControl w:val="0"/>
              <w:kinsoku/>
              <w:wordWrap/>
              <w:overflowPunct/>
              <w:topLinePunct w:val="0"/>
              <w:autoSpaceDE/>
              <w:autoSpaceDN/>
              <w:bidi w:val="0"/>
              <w:adjustRightInd/>
              <w:snapToGrid w:val="0"/>
              <w:spacing w:line="240" w:lineRule="auto"/>
              <w:ind w:left="0" w:right="0"/>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（1）可选择是否启用Autopwn，选择漏洞检测场景，配置端口范围等；提供完整的SDK和使用说明文档，并提供代码自动生成功能，可以快速编写插件；</w:t>
            </w:r>
          </w:p>
          <w:p w14:paraId="17F64650">
            <w:pPr>
              <w:pStyle w:val="7"/>
              <w:keepNext w:val="0"/>
              <w:keepLines w:val="0"/>
              <w:pageBreakBefore w:val="0"/>
              <w:widowControl w:val="0"/>
              <w:kinsoku/>
              <w:wordWrap/>
              <w:overflowPunct/>
              <w:topLinePunct w:val="0"/>
              <w:autoSpaceDE/>
              <w:autoSpaceDN/>
              <w:bidi w:val="0"/>
              <w:adjustRightInd/>
              <w:snapToGrid w:val="0"/>
              <w:spacing w:line="240" w:lineRule="auto"/>
              <w:ind w:left="0" w:right="0"/>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（2）支持完善的插件提交、插件审核、插件导入功能，无延迟载入插件库；提供一键进行漏洞高级功能利用，包括执行命令、执行SQL、上传文件、反弹Shell、上传GTWebshell、下载文件等。</w:t>
            </w:r>
          </w:p>
        </w:tc>
        <w:tc>
          <w:tcPr>
            <w:tcW w:w="883" w:type="dxa"/>
            <w:vAlign w:val="center"/>
          </w:tcPr>
          <w:p w14:paraId="7FDF5AFC">
            <w:pPr>
              <w:pStyle w:val="7"/>
              <w:keepNext w:val="0"/>
              <w:keepLines w:val="0"/>
              <w:pageBreakBefore w:val="0"/>
              <w:widowControl w:val="0"/>
              <w:kinsoku/>
              <w:wordWrap/>
              <w:overflowPunct/>
              <w:topLinePunct w:val="0"/>
              <w:autoSpaceDE/>
              <w:autoSpaceDN/>
              <w:bidi w:val="0"/>
              <w:adjustRightInd/>
              <w:snapToGrid w:val="0"/>
              <w:spacing w:line="240" w:lineRule="auto"/>
              <w:ind w:left="0" w:right="0"/>
              <w:jc w:val="center"/>
              <w:textAlignment w:val="auto"/>
              <w:rPr>
                <w:rFonts w:hint="eastAsia" w:asciiTheme="minorEastAsia" w:hAnsiTheme="minorEastAsia" w:eastAsiaTheme="minorEastAsia" w:cstheme="minorEastAsia"/>
                <w:color w:val="auto"/>
                <w:sz w:val="21"/>
                <w:szCs w:val="21"/>
                <w:lang w:val="en-US" w:eastAsia="zh-CN"/>
              </w:rPr>
            </w:pPr>
          </w:p>
          <w:p w14:paraId="6A41844B">
            <w:pPr>
              <w:pStyle w:val="7"/>
              <w:keepNext w:val="0"/>
              <w:keepLines w:val="0"/>
              <w:pageBreakBefore w:val="0"/>
              <w:widowControl w:val="0"/>
              <w:kinsoku/>
              <w:wordWrap/>
              <w:overflowPunct/>
              <w:topLinePunct w:val="0"/>
              <w:autoSpaceDE/>
              <w:autoSpaceDN/>
              <w:bidi w:val="0"/>
              <w:adjustRightInd/>
              <w:snapToGrid w:val="0"/>
              <w:spacing w:line="240" w:lineRule="auto"/>
              <w:ind w:left="0" w:right="0"/>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3分</w:t>
            </w:r>
          </w:p>
          <w:p w14:paraId="67A40759">
            <w:pPr>
              <w:pStyle w:val="7"/>
              <w:keepNext w:val="0"/>
              <w:keepLines w:val="0"/>
              <w:pageBreakBefore w:val="0"/>
              <w:widowControl w:val="0"/>
              <w:kinsoku/>
              <w:wordWrap/>
              <w:overflowPunct/>
              <w:topLinePunct w:val="0"/>
              <w:autoSpaceDE/>
              <w:autoSpaceDN/>
              <w:bidi w:val="0"/>
              <w:adjustRightInd/>
              <w:snapToGrid w:val="0"/>
              <w:spacing w:line="240" w:lineRule="auto"/>
              <w:ind w:left="0" w:right="0"/>
              <w:jc w:val="center"/>
              <w:textAlignment w:val="auto"/>
              <w:rPr>
                <w:rFonts w:hint="eastAsia" w:asciiTheme="minorEastAsia" w:hAnsiTheme="minorEastAsia" w:eastAsiaTheme="minorEastAsia" w:cstheme="minorEastAsia"/>
                <w:color w:val="auto"/>
                <w:sz w:val="21"/>
                <w:szCs w:val="21"/>
                <w:lang w:val="en-US" w:eastAsia="zh-CN"/>
              </w:rPr>
            </w:pPr>
          </w:p>
        </w:tc>
      </w:tr>
      <w:tr w14:paraId="7A9AB4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88" w:hRule="atLeast"/>
        </w:trPr>
        <w:tc>
          <w:tcPr>
            <w:tcW w:w="8204" w:type="dxa"/>
            <w:vAlign w:val="center"/>
          </w:tcPr>
          <w:p w14:paraId="65A72E2C">
            <w:pPr>
              <w:pStyle w:val="7"/>
              <w:keepNext w:val="0"/>
              <w:keepLines w:val="0"/>
              <w:pageBreakBefore w:val="0"/>
              <w:widowControl w:val="0"/>
              <w:kinsoku/>
              <w:wordWrap/>
              <w:overflowPunct/>
              <w:topLinePunct w:val="0"/>
              <w:autoSpaceDE/>
              <w:autoSpaceDN/>
              <w:bidi w:val="0"/>
              <w:adjustRightInd/>
              <w:snapToGrid w:val="0"/>
              <w:spacing w:line="240" w:lineRule="auto"/>
              <w:ind w:left="0" w:right="0"/>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加固工具首页界面支持展示资产数量显示，包含服务器、进程、web框架、数据库、账户、软件应用、端口、网络连接、web服务、安装包等显示。（证明材料需由国家互联网信息办公室、公安部、工业和信息化部、国家认证认可监督管理委员会四部门发布的《承担网络关键设备和网络安全专用产品认证》中检测机构出具的检测报告）。</w:t>
            </w:r>
          </w:p>
        </w:tc>
        <w:tc>
          <w:tcPr>
            <w:tcW w:w="883" w:type="dxa"/>
            <w:vAlign w:val="center"/>
          </w:tcPr>
          <w:p w14:paraId="09DD4BF1">
            <w:pPr>
              <w:pStyle w:val="7"/>
              <w:keepNext w:val="0"/>
              <w:keepLines w:val="0"/>
              <w:pageBreakBefore w:val="0"/>
              <w:widowControl w:val="0"/>
              <w:kinsoku/>
              <w:wordWrap/>
              <w:overflowPunct/>
              <w:topLinePunct w:val="0"/>
              <w:autoSpaceDE/>
              <w:autoSpaceDN/>
              <w:bidi w:val="0"/>
              <w:adjustRightInd/>
              <w:snapToGrid w:val="0"/>
              <w:spacing w:line="240" w:lineRule="auto"/>
              <w:ind w:left="0" w:right="0"/>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3分</w:t>
            </w:r>
          </w:p>
        </w:tc>
      </w:tr>
      <w:tr w14:paraId="42DA6C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93" w:hRule="atLeast"/>
        </w:trPr>
        <w:tc>
          <w:tcPr>
            <w:tcW w:w="8204" w:type="dxa"/>
            <w:vAlign w:val="center"/>
          </w:tcPr>
          <w:p w14:paraId="333CBD7E">
            <w:pPr>
              <w:pStyle w:val="7"/>
              <w:keepNext w:val="0"/>
              <w:keepLines w:val="0"/>
              <w:pageBreakBefore w:val="0"/>
              <w:widowControl w:val="0"/>
              <w:kinsoku/>
              <w:wordWrap/>
              <w:overflowPunct/>
              <w:topLinePunct w:val="0"/>
              <w:autoSpaceDE/>
              <w:autoSpaceDN/>
              <w:bidi w:val="0"/>
              <w:adjustRightInd/>
              <w:snapToGrid w:val="0"/>
              <w:spacing w:line="240" w:lineRule="auto"/>
              <w:ind w:left="0" w:right="0"/>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提供服务器安全防护服务工具，该工具支持：</w:t>
            </w:r>
          </w:p>
          <w:p w14:paraId="22D4A30D">
            <w:pPr>
              <w:pStyle w:val="7"/>
              <w:keepNext w:val="0"/>
              <w:keepLines w:val="0"/>
              <w:pageBreakBefore w:val="0"/>
              <w:widowControl w:val="0"/>
              <w:kinsoku/>
              <w:wordWrap/>
              <w:overflowPunct/>
              <w:topLinePunct w:val="0"/>
              <w:autoSpaceDE/>
              <w:autoSpaceDN/>
              <w:bidi w:val="0"/>
              <w:adjustRightInd/>
              <w:snapToGrid w:val="0"/>
              <w:spacing w:line="240" w:lineRule="auto"/>
              <w:ind w:left="0" w:right="0"/>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根据策略对病毒文件进行检测和告警，对病毒样本基本库至少能检测其中的95%。</w:t>
            </w:r>
          </w:p>
          <w:p w14:paraId="47940724">
            <w:pPr>
              <w:pStyle w:val="7"/>
              <w:keepNext w:val="0"/>
              <w:keepLines w:val="0"/>
              <w:pageBreakBefore w:val="0"/>
              <w:widowControl w:val="0"/>
              <w:kinsoku/>
              <w:wordWrap/>
              <w:overflowPunct/>
              <w:topLinePunct w:val="0"/>
              <w:autoSpaceDE/>
              <w:autoSpaceDN/>
              <w:bidi w:val="0"/>
              <w:adjustRightInd/>
              <w:snapToGrid w:val="0"/>
              <w:spacing w:line="240" w:lineRule="auto"/>
              <w:ind w:left="0" w:right="0"/>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对病毒样本流行库至少能检测其中的98%，对误报样本库的误报率不能超过0.1%。</w:t>
            </w:r>
          </w:p>
          <w:p w14:paraId="14F2C6E0">
            <w:pPr>
              <w:pStyle w:val="7"/>
              <w:keepNext w:val="0"/>
              <w:keepLines w:val="0"/>
              <w:pageBreakBefore w:val="0"/>
              <w:widowControl w:val="0"/>
              <w:kinsoku/>
              <w:wordWrap/>
              <w:overflowPunct/>
              <w:topLinePunct w:val="0"/>
              <w:autoSpaceDE/>
              <w:autoSpaceDN/>
              <w:bidi w:val="0"/>
              <w:adjustRightInd/>
              <w:snapToGrid w:val="0"/>
              <w:spacing w:line="240" w:lineRule="auto"/>
              <w:ind w:left="0" w:right="0"/>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支持对虚拟化环境中统一检测的策略管理。</w:t>
            </w:r>
          </w:p>
          <w:p w14:paraId="7A257E87">
            <w:pPr>
              <w:pStyle w:val="7"/>
              <w:keepNext w:val="0"/>
              <w:keepLines w:val="0"/>
              <w:pageBreakBefore w:val="0"/>
              <w:widowControl w:val="0"/>
              <w:kinsoku/>
              <w:wordWrap/>
              <w:overflowPunct/>
              <w:topLinePunct w:val="0"/>
              <w:autoSpaceDE/>
              <w:autoSpaceDN/>
              <w:bidi w:val="0"/>
              <w:adjustRightInd/>
              <w:snapToGrid w:val="0"/>
              <w:spacing w:line="240" w:lineRule="auto"/>
              <w:ind w:left="0" w:right="0"/>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（证明材料需由国家互联网信息办公室、公安部、工业和信息化部、国家认证认可监督管理委员会四部门发布的《承担网络关键设备和网络安全专用产品认证》中检测机构出具的检测报告）。</w:t>
            </w:r>
          </w:p>
        </w:tc>
        <w:tc>
          <w:tcPr>
            <w:tcW w:w="883" w:type="dxa"/>
            <w:vAlign w:val="center"/>
          </w:tcPr>
          <w:p w14:paraId="2EA8A4EB">
            <w:pPr>
              <w:pStyle w:val="7"/>
              <w:keepNext w:val="0"/>
              <w:keepLines w:val="0"/>
              <w:pageBreakBefore w:val="0"/>
              <w:widowControl w:val="0"/>
              <w:kinsoku/>
              <w:wordWrap/>
              <w:overflowPunct/>
              <w:topLinePunct w:val="0"/>
              <w:autoSpaceDE/>
              <w:autoSpaceDN/>
              <w:bidi w:val="0"/>
              <w:adjustRightInd/>
              <w:snapToGrid w:val="0"/>
              <w:spacing w:line="240" w:lineRule="auto"/>
              <w:ind w:left="0" w:right="0"/>
              <w:jc w:val="center"/>
              <w:textAlignment w:val="auto"/>
              <w:rPr>
                <w:rFonts w:hint="eastAsia" w:asciiTheme="minorEastAsia" w:hAnsiTheme="minorEastAsia" w:eastAsiaTheme="minorEastAsia" w:cstheme="minorEastAsia"/>
                <w:color w:val="auto"/>
                <w:sz w:val="21"/>
                <w:szCs w:val="21"/>
                <w:lang w:val="en-US" w:eastAsia="zh-CN"/>
              </w:rPr>
            </w:pPr>
          </w:p>
          <w:p w14:paraId="451D1C76">
            <w:pPr>
              <w:pStyle w:val="7"/>
              <w:keepNext w:val="0"/>
              <w:keepLines w:val="0"/>
              <w:pageBreakBefore w:val="0"/>
              <w:widowControl w:val="0"/>
              <w:kinsoku/>
              <w:wordWrap/>
              <w:overflowPunct/>
              <w:topLinePunct w:val="0"/>
              <w:autoSpaceDE/>
              <w:autoSpaceDN/>
              <w:bidi w:val="0"/>
              <w:adjustRightInd/>
              <w:snapToGrid w:val="0"/>
              <w:spacing w:line="240" w:lineRule="auto"/>
              <w:ind w:left="0" w:right="0"/>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3分</w:t>
            </w:r>
          </w:p>
        </w:tc>
      </w:tr>
      <w:tr w14:paraId="077E16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16" w:hRule="atLeast"/>
        </w:trPr>
        <w:tc>
          <w:tcPr>
            <w:tcW w:w="8204" w:type="dxa"/>
            <w:vAlign w:val="center"/>
          </w:tcPr>
          <w:p w14:paraId="7999C270">
            <w:pPr>
              <w:pStyle w:val="7"/>
              <w:keepNext w:val="0"/>
              <w:keepLines w:val="0"/>
              <w:pageBreakBefore w:val="0"/>
              <w:widowControl w:val="0"/>
              <w:kinsoku/>
              <w:wordWrap/>
              <w:overflowPunct/>
              <w:topLinePunct w:val="0"/>
              <w:autoSpaceDE/>
              <w:autoSpaceDN/>
              <w:bidi w:val="0"/>
              <w:adjustRightInd/>
              <w:snapToGrid w:val="0"/>
              <w:spacing w:line="240" w:lineRule="auto"/>
              <w:ind w:left="0" w:right="0"/>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Hans"/>
              </w:rPr>
              <w:t>支持基于系统扫描的结果，下发Web深度扫描任务，能够针对</w:t>
            </w:r>
            <w:r>
              <w:rPr>
                <w:rFonts w:hint="eastAsia" w:asciiTheme="minorEastAsia" w:hAnsiTheme="minorEastAsia" w:eastAsiaTheme="minorEastAsia" w:cstheme="minorEastAsia"/>
                <w:color w:val="auto"/>
                <w:sz w:val="21"/>
                <w:szCs w:val="21"/>
                <w:lang w:val="en-US" w:eastAsia="zh-CN"/>
              </w:rPr>
              <w:t>Web和</w:t>
            </w:r>
            <w:r>
              <w:rPr>
                <w:rFonts w:hint="eastAsia" w:asciiTheme="minorEastAsia" w:hAnsiTheme="minorEastAsia" w:eastAsiaTheme="minorEastAsia" w:cstheme="minorEastAsia"/>
                <w:color w:val="auto"/>
                <w:sz w:val="21"/>
                <w:szCs w:val="21"/>
                <w:lang w:val="en-US" w:eastAsia="zh-Hans"/>
              </w:rPr>
              <w:t>系统</w:t>
            </w:r>
            <w:r>
              <w:rPr>
                <w:rFonts w:hint="eastAsia" w:asciiTheme="minorEastAsia" w:hAnsiTheme="minorEastAsia" w:eastAsiaTheme="minorEastAsia" w:cstheme="minorEastAsia"/>
                <w:color w:val="auto"/>
                <w:sz w:val="21"/>
                <w:szCs w:val="21"/>
                <w:lang w:val="en-US" w:eastAsia="zh-CN"/>
              </w:rPr>
              <w:t>扫描</w:t>
            </w:r>
            <w:r>
              <w:rPr>
                <w:rFonts w:hint="eastAsia" w:asciiTheme="minorEastAsia" w:hAnsiTheme="minorEastAsia" w:eastAsiaTheme="minorEastAsia" w:cstheme="minorEastAsia"/>
                <w:color w:val="auto"/>
                <w:sz w:val="21"/>
                <w:szCs w:val="21"/>
                <w:lang w:val="en-US" w:eastAsia="zh-Hans"/>
              </w:rPr>
              <w:t>的结果</w:t>
            </w:r>
            <w:r>
              <w:rPr>
                <w:rFonts w:hint="eastAsia" w:asciiTheme="minorEastAsia" w:hAnsiTheme="minorEastAsia" w:eastAsiaTheme="minorEastAsia" w:cstheme="minorEastAsia"/>
                <w:color w:val="auto"/>
                <w:sz w:val="21"/>
                <w:szCs w:val="21"/>
                <w:lang w:val="en-US" w:eastAsia="zh-CN"/>
              </w:rPr>
              <w:t>深入</w:t>
            </w:r>
            <w:r>
              <w:rPr>
                <w:rFonts w:hint="eastAsia" w:asciiTheme="minorEastAsia" w:hAnsiTheme="minorEastAsia" w:eastAsiaTheme="minorEastAsia" w:cstheme="minorEastAsia"/>
                <w:color w:val="auto"/>
                <w:sz w:val="21"/>
                <w:szCs w:val="21"/>
                <w:lang w:val="en-US" w:eastAsia="zh-Hans"/>
              </w:rPr>
              <w:t>的进行风险综合分析（需提供功能截图）</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lang w:val="en-US" w:eastAsia="zh-Hans"/>
              </w:rPr>
              <w:br w:type="textWrapping"/>
            </w:r>
            <w:r>
              <w:rPr>
                <w:rFonts w:hint="eastAsia" w:asciiTheme="minorEastAsia" w:hAnsiTheme="minorEastAsia" w:eastAsiaTheme="minorEastAsia" w:cstheme="minorEastAsia"/>
                <w:color w:val="auto"/>
                <w:sz w:val="21"/>
                <w:szCs w:val="21"/>
                <w:lang w:val="en-US" w:eastAsia="zh-CN"/>
              </w:rPr>
              <w:t>内置</w:t>
            </w:r>
            <w:r>
              <w:rPr>
                <w:rFonts w:hint="eastAsia" w:asciiTheme="minorEastAsia" w:hAnsiTheme="minorEastAsia" w:eastAsiaTheme="minorEastAsia" w:cstheme="minorEastAsia"/>
                <w:color w:val="auto"/>
                <w:sz w:val="21"/>
                <w:szCs w:val="21"/>
                <w:lang w:val="en-US" w:eastAsia="zh-Hans"/>
              </w:rPr>
              <w:t>扫描任务报表、基线检查报表、资产报表、漏洞报表、对比报表和自定义报表</w:t>
            </w:r>
            <w:r>
              <w:rPr>
                <w:rFonts w:hint="eastAsia" w:asciiTheme="minorEastAsia" w:hAnsiTheme="minorEastAsia" w:eastAsiaTheme="minorEastAsia" w:cstheme="minorEastAsia"/>
                <w:color w:val="auto"/>
                <w:sz w:val="21"/>
                <w:szCs w:val="21"/>
                <w:lang w:val="en-US" w:eastAsia="zh-CN"/>
              </w:rPr>
              <w:t>模板；</w:t>
            </w:r>
            <w:r>
              <w:rPr>
                <w:rFonts w:hint="eastAsia" w:asciiTheme="minorEastAsia" w:hAnsiTheme="minorEastAsia" w:eastAsiaTheme="minorEastAsia" w:cstheme="minorEastAsia"/>
                <w:color w:val="auto"/>
                <w:sz w:val="21"/>
                <w:szCs w:val="21"/>
                <w:lang w:val="en-US" w:eastAsia="zh-Hans"/>
              </w:rPr>
              <w:t>自定义的维度包括且不限于</w:t>
            </w:r>
            <w:r>
              <w:rPr>
                <w:rFonts w:hint="eastAsia" w:asciiTheme="minorEastAsia" w:hAnsiTheme="minorEastAsia" w:eastAsiaTheme="minorEastAsia" w:cstheme="minorEastAsia"/>
                <w:color w:val="auto"/>
                <w:sz w:val="21"/>
                <w:szCs w:val="21"/>
                <w:lang w:val="en-US" w:eastAsia="zh-CN"/>
              </w:rPr>
              <w:t>资产（主机存活性、主机指纹、端口、web指纹等）、漏洞（</w:t>
            </w:r>
            <w:r>
              <w:rPr>
                <w:rFonts w:hint="eastAsia" w:asciiTheme="minorEastAsia" w:hAnsiTheme="minorEastAsia" w:eastAsiaTheme="minorEastAsia" w:cstheme="minorEastAsia"/>
                <w:color w:val="auto"/>
                <w:sz w:val="21"/>
                <w:szCs w:val="21"/>
                <w:lang w:val="en-US" w:eastAsia="zh-Hans"/>
              </w:rPr>
              <w:t>修复方案</w:t>
            </w:r>
            <w:r>
              <w:rPr>
                <w:rFonts w:hint="eastAsia" w:asciiTheme="minorEastAsia" w:hAnsiTheme="minorEastAsia" w:eastAsiaTheme="minorEastAsia" w:cstheme="minorEastAsia"/>
                <w:color w:val="auto"/>
                <w:sz w:val="21"/>
                <w:szCs w:val="21"/>
                <w:lang w:val="en-US" w:eastAsia="zh-CN"/>
              </w:rPr>
              <w:t>、CVSS</w:t>
            </w:r>
            <w:r>
              <w:rPr>
                <w:rFonts w:hint="eastAsia" w:asciiTheme="minorEastAsia" w:hAnsiTheme="minorEastAsia" w:eastAsiaTheme="minorEastAsia" w:cstheme="minorEastAsia"/>
                <w:color w:val="auto"/>
                <w:sz w:val="21"/>
                <w:szCs w:val="21"/>
                <w:lang w:val="en-US" w:eastAsia="zh-Hans"/>
              </w:rPr>
              <w:t>评分、</w:t>
            </w:r>
            <w:r>
              <w:rPr>
                <w:rFonts w:hint="eastAsia" w:asciiTheme="minorEastAsia" w:hAnsiTheme="minorEastAsia" w:eastAsiaTheme="minorEastAsia" w:cstheme="minorEastAsia"/>
                <w:color w:val="auto"/>
                <w:sz w:val="21"/>
                <w:szCs w:val="21"/>
                <w:lang w:val="en-US" w:eastAsia="zh-CN"/>
              </w:rPr>
              <w:t>漏洞细节、漏洞描述、漏洞危害、影响</w:t>
            </w:r>
            <w:r>
              <w:rPr>
                <w:rFonts w:hint="eastAsia" w:asciiTheme="minorEastAsia" w:hAnsiTheme="minorEastAsia" w:eastAsiaTheme="minorEastAsia" w:cstheme="minorEastAsia"/>
                <w:color w:val="auto"/>
                <w:sz w:val="21"/>
                <w:szCs w:val="21"/>
                <w:lang w:val="en-US" w:eastAsia="zh-Hans"/>
              </w:rPr>
              <w:t>范围</w:t>
            </w:r>
            <w:r>
              <w:rPr>
                <w:rFonts w:hint="eastAsia" w:asciiTheme="minorEastAsia" w:hAnsiTheme="minorEastAsia" w:eastAsiaTheme="minorEastAsia" w:cstheme="minorEastAsia"/>
                <w:color w:val="auto"/>
                <w:sz w:val="21"/>
                <w:szCs w:val="21"/>
                <w:lang w:val="en-US" w:eastAsia="zh-CN"/>
              </w:rPr>
              <w:t>等）进行筛选（需提供功能截图）；</w:t>
            </w:r>
          </w:p>
          <w:p w14:paraId="01FCB3B8">
            <w:pPr>
              <w:pStyle w:val="7"/>
              <w:keepNext w:val="0"/>
              <w:keepLines w:val="0"/>
              <w:pageBreakBefore w:val="0"/>
              <w:widowControl w:val="0"/>
              <w:kinsoku/>
              <w:wordWrap/>
              <w:overflowPunct/>
              <w:topLinePunct w:val="0"/>
              <w:autoSpaceDE/>
              <w:autoSpaceDN/>
              <w:bidi w:val="0"/>
              <w:adjustRightInd/>
              <w:snapToGrid w:val="0"/>
              <w:spacing w:line="240" w:lineRule="auto"/>
              <w:ind w:left="0" w:right="0"/>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支持</w:t>
            </w:r>
            <w:r>
              <w:rPr>
                <w:rFonts w:hint="eastAsia" w:asciiTheme="minorEastAsia" w:hAnsiTheme="minorEastAsia" w:eastAsiaTheme="minorEastAsia" w:cstheme="minorEastAsia"/>
                <w:color w:val="auto"/>
                <w:sz w:val="21"/>
                <w:szCs w:val="21"/>
                <w:lang w:val="en-US" w:eastAsia="zh-Hans"/>
              </w:rPr>
              <w:t>html</w:t>
            </w:r>
            <w:r>
              <w:rPr>
                <w:rFonts w:hint="eastAsia" w:asciiTheme="minorEastAsia" w:hAnsiTheme="minorEastAsia" w:eastAsiaTheme="minorEastAsia" w:cstheme="minorEastAsia"/>
                <w:color w:val="auto"/>
                <w:sz w:val="21"/>
                <w:szCs w:val="21"/>
                <w:lang w:val="en-US" w:eastAsia="zh-CN"/>
              </w:rPr>
              <w:t>、Word、excel、pdf</w:t>
            </w:r>
            <w:r>
              <w:rPr>
                <w:rFonts w:hint="eastAsia" w:asciiTheme="minorEastAsia" w:hAnsiTheme="minorEastAsia" w:eastAsiaTheme="minorEastAsia" w:cstheme="minorEastAsia"/>
                <w:color w:val="auto"/>
                <w:sz w:val="21"/>
                <w:szCs w:val="21"/>
                <w:lang w:val="en-US" w:eastAsia="zh-Hans"/>
              </w:rPr>
              <w:t>等</w:t>
            </w:r>
            <w:r>
              <w:rPr>
                <w:rFonts w:hint="eastAsia" w:asciiTheme="minorEastAsia" w:hAnsiTheme="minorEastAsia" w:eastAsiaTheme="minorEastAsia" w:cstheme="minorEastAsia"/>
                <w:color w:val="auto"/>
                <w:sz w:val="21"/>
                <w:szCs w:val="21"/>
                <w:lang w:val="en-US" w:eastAsia="zh-CN"/>
              </w:rPr>
              <w:t>多种格式报表导出。</w:t>
            </w:r>
          </w:p>
        </w:tc>
        <w:tc>
          <w:tcPr>
            <w:tcW w:w="883" w:type="dxa"/>
            <w:vAlign w:val="center"/>
          </w:tcPr>
          <w:p w14:paraId="48D36B59">
            <w:pPr>
              <w:pStyle w:val="7"/>
              <w:keepNext w:val="0"/>
              <w:keepLines w:val="0"/>
              <w:pageBreakBefore w:val="0"/>
              <w:widowControl w:val="0"/>
              <w:kinsoku/>
              <w:wordWrap/>
              <w:overflowPunct/>
              <w:topLinePunct w:val="0"/>
              <w:autoSpaceDE/>
              <w:autoSpaceDN/>
              <w:bidi w:val="0"/>
              <w:adjustRightInd/>
              <w:snapToGrid w:val="0"/>
              <w:spacing w:line="240" w:lineRule="auto"/>
              <w:ind w:left="0" w:right="0"/>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3分</w:t>
            </w:r>
          </w:p>
        </w:tc>
      </w:tr>
      <w:tr w14:paraId="771F8E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43" w:hRule="atLeast"/>
        </w:trPr>
        <w:tc>
          <w:tcPr>
            <w:tcW w:w="8204" w:type="dxa"/>
            <w:vAlign w:val="center"/>
          </w:tcPr>
          <w:p w14:paraId="53BCC802">
            <w:pPr>
              <w:pStyle w:val="7"/>
              <w:keepNext w:val="0"/>
              <w:keepLines w:val="0"/>
              <w:pageBreakBefore w:val="0"/>
              <w:widowControl w:val="0"/>
              <w:kinsoku/>
              <w:wordWrap/>
              <w:overflowPunct/>
              <w:topLinePunct w:val="0"/>
              <w:autoSpaceDE/>
              <w:autoSpaceDN/>
              <w:bidi w:val="0"/>
              <w:adjustRightInd/>
              <w:snapToGrid w:val="0"/>
              <w:spacing w:line="240" w:lineRule="auto"/>
              <w:ind w:left="0" w:right="0"/>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开展护网服务，合同期内，在市委网信办、市网安等上级部门明确的重要时期，按照文件要求制定网络安全保障方案；按方案要求提供人员驻守应急支撑；交付成果：《攻防演习防守方案》、《攻防演习前安全检查报告》、《攻防演习值守日报》、《应急处置报告》、《攻防演习工作总结汇报》；报告周期：以上级部门通知要求为准；</w:t>
            </w:r>
            <w:r>
              <w:rPr>
                <w:rFonts w:hint="eastAsia" w:asciiTheme="minorEastAsia" w:hAnsiTheme="minorEastAsia" w:eastAsiaTheme="minorEastAsia" w:cstheme="minorEastAsia"/>
                <w:color w:val="auto"/>
                <w:sz w:val="21"/>
                <w:szCs w:val="21"/>
                <w:lang w:val="en-US" w:eastAsia="zh-CN"/>
              </w:rPr>
              <w:br w:type="textWrapping"/>
            </w:r>
            <w:r>
              <w:rPr>
                <w:rFonts w:hint="eastAsia" w:asciiTheme="minorEastAsia" w:hAnsiTheme="minorEastAsia" w:eastAsiaTheme="minorEastAsia" w:cstheme="minorEastAsia"/>
                <w:color w:val="auto"/>
                <w:sz w:val="21"/>
                <w:szCs w:val="21"/>
                <w:lang w:val="en-US" w:eastAsia="zh-CN"/>
              </w:rPr>
              <w:t>实战攻防演习期间提供，流量监测工具，具备网页漏洞利用检测、webshell上传检测、网络攻击检测、威胁情报检测能力，提供以上功能截图及流量监测工具提供承诺函；</w:t>
            </w:r>
          </w:p>
          <w:p w14:paraId="591DF9C5">
            <w:pPr>
              <w:pStyle w:val="7"/>
              <w:keepNext w:val="0"/>
              <w:keepLines w:val="0"/>
              <w:pageBreakBefore w:val="0"/>
              <w:widowControl w:val="0"/>
              <w:kinsoku/>
              <w:wordWrap/>
              <w:overflowPunct/>
              <w:topLinePunct w:val="0"/>
              <w:autoSpaceDE/>
              <w:autoSpaceDN/>
              <w:bidi w:val="0"/>
              <w:adjustRightInd/>
              <w:snapToGrid w:val="0"/>
              <w:spacing w:line="240" w:lineRule="auto"/>
              <w:ind w:left="0" w:right="0"/>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流量监测工具，支持基于工具特征的WEBSHELL检测，能通过系统调用、系统配置、文件的操作来及时发现威胁；如：中国菜刀变形、小马上传工具、小马生成器等。</w:t>
            </w:r>
          </w:p>
        </w:tc>
        <w:tc>
          <w:tcPr>
            <w:tcW w:w="883" w:type="dxa"/>
            <w:vAlign w:val="center"/>
          </w:tcPr>
          <w:p w14:paraId="32859D28">
            <w:pPr>
              <w:pStyle w:val="7"/>
              <w:keepNext w:val="0"/>
              <w:keepLines w:val="0"/>
              <w:pageBreakBefore w:val="0"/>
              <w:widowControl w:val="0"/>
              <w:kinsoku/>
              <w:wordWrap/>
              <w:overflowPunct/>
              <w:topLinePunct w:val="0"/>
              <w:autoSpaceDE/>
              <w:autoSpaceDN/>
              <w:bidi w:val="0"/>
              <w:adjustRightInd/>
              <w:snapToGrid w:val="0"/>
              <w:spacing w:line="240" w:lineRule="auto"/>
              <w:ind w:left="0" w:right="0"/>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2分</w:t>
            </w:r>
          </w:p>
        </w:tc>
      </w:tr>
      <w:tr w14:paraId="78F0C1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2" w:hRule="atLeast"/>
        </w:trPr>
        <w:tc>
          <w:tcPr>
            <w:tcW w:w="8204" w:type="dxa"/>
            <w:vAlign w:val="center"/>
          </w:tcPr>
          <w:p w14:paraId="47678258">
            <w:pPr>
              <w:pStyle w:val="7"/>
              <w:keepNext w:val="0"/>
              <w:keepLines w:val="0"/>
              <w:pageBreakBefore w:val="0"/>
              <w:widowControl w:val="0"/>
              <w:kinsoku/>
              <w:wordWrap/>
              <w:overflowPunct/>
              <w:topLinePunct w:val="0"/>
              <w:autoSpaceDE/>
              <w:autoSpaceDN/>
              <w:bidi w:val="0"/>
              <w:adjustRightInd/>
              <w:snapToGrid w:val="0"/>
              <w:spacing w:line="240" w:lineRule="auto"/>
              <w:ind w:left="0" w:right="0"/>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IP地址管理：支持对系统内自动发现及人工录入的IP地址进行管理，维度包含但不限于查看IPV4地址、IPV6地址、端口数、域名数、运营商、位置、ASN、来源依据、分组、标签等，支持对已发现的IP地址进行筛选、删除、聚合和下载等操作，筛选维度包含但不限于发现日期、更新日期、IP地址、网段、运营商、位置、ASN编号、来源、发现依据、分组、标签等维度；支持自动识别WAF、CDN、企业邮箱、云存储等相关资产并生成标签；</w:t>
            </w:r>
            <w:r>
              <w:rPr>
                <w:rFonts w:hint="eastAsia" w:asciiTheme="minorEastAsia" w:hAnsiTheme="minorEastAsia" w:eastAsiaTheme="minorEastAsia" w:cstheme="minorEastAsia"/>
                <w:color w:val="auto"/>
                <w:sz w:val="21"/>
                <w:szCs w:val="21"/>
                <w:lang w:val="en-US" w:eastAsia="zh-CN"/>
              </w:rPr>
              <w:br w:type="textWrapping"/>
            </w:r>
            <w:r>
              <w:rPr>
                <w:rFonts w:hint="eastAsia" w:asciiTheme="minorEastAsia" w:hAnsiTheme="minorEastAsia" w:eastAsiaTheme="minorEastAsia" w:cstheme="minorEastAsia"/>
                <w:color w:val="auto"/>
                <w:sz w:val="21"/>
                <w:szCs w:val="21"/>
                <w:lang w:val="en-US" w:eastAsia="zh-CN"/>
              </w:rPr>
              <w:t>漏洞详情：支持查看漏洞详情，展示维度包含但不限于漏洞ID、漏洞等级、漏洞名称、漏洞类型、检测方式、受影响资产、CVE编号、CVND编号、CNNVD编号、CVSS评分、漏洞证明过程、漏洞描述、扫描对象、漏洞证明过程、漏洞危害、缓解建议、发现时间、跟进时间、复测状态、跟进记录等；支持漏洞结果导出报告、分享链接等操作。</w:t>
            </w:r>
            <w:bookmarkStart w:id="0" w:name="_GoBack"/>
            <w:bookmarkEnd w:id="0"/>
          </w:p>
        </w:tc>
        <w:tc>
          <w:tcPr>
            <w:tcW w:w="883" w:type="dxa"/>
            <w:vAlign w:val="center"/>
          </w:tcPr>
          <w:p w14:paraId="240EF00B">
            <w:pPr>
              <w:pStyle w:val="7"/>
              <w:keepNext w:val="0"/>
              <w:keepLines w:val="0"/>
              <w:pageBreakBefore w:val="0"/>
              <w:widowControl w:val="0"/>
              <w:kinsoku/>
              <w:wordWrap/>
              <w:overflowPunct/>
              <w:topLinePunct w:val="0"/>
              <w:autoSpaceDE/>
              <w:autoSpaceDN/>
              <w:bidi w:val="0"/>
              <w:adjustRightInd/>
              <w:snapToGrid w:val="0"/>
              <w:spacing w:line="240" w:lineRule="auto"/>
              <w:ind w:left="0" w:right="0"/>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4分</w:t>
            </w:r>
          </w:p>
        </w:tc>
      </w:tr>
      <w:tr w14:paraId="6EF973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67" w:hRule="atLeast"/>
        </w:trPr>
        <w:tc>
          <w:tcPr>
            <w:tcW w:w="8204" w:type="dxa"/>
            <w:vAlign w:val="center"/>
          </w:tcPr>
          <w:p w14:paraId="5A7DED7E">
            <w:pPr>
              <w:pStyle w:val="7"/>
              <w:keepNext w:val="0"/>
              <w:keepLines w:val="0"/>
              <w:pageBreakBefore w:val="0"/>
              <w:widowControl w:val="0"/>
              <w:kinsoku/>
              <w:wordWrap/>
              <w:overflowPunct/>
              <w:topLinePunct w:val="0"/>
              <w:autoSpaceDE/>
              <w:autoSpaceDN/>
              <w:bidi w:val="0"/>
              <w:adjustRightInd/>
              <w:snapToGrid w:val="0"/>
              <w:spacing w:line="240" w:lineRule="auto"/>
              <w:ind w:left="0" w:right="0"/>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1、投标人必需提供服务门户portal账户，且门户至少具备如下主要功能</w:t>
            </w:r>
            <w:r>
              <w:rPr>
                <w:rFonts w:hint="eastAsia" w:asciiTheme="minorEastAsia" w:hAnsiTheme="minorEastAsia" w:eastAsiaTheme="minorEastAsia" w:cstheme="minorEastAsia"/>
                <w:color w:val="auto"/>
                <w:sz w:val="21"/>
                <w:szCs w:val="21"/>
                <w:lang w:val="en-US" w:eastAsia="zh-Hans"/>
              </w:rPr>
              <w:t>（需提供功能截图）</w:t>
            </w:r>
            <w:r>
              <w:rPr>
                <w:rFonts w:hint="eastAsia" w:asciiTheme="minorEastAsia" w:hAnsiTheme="minorEastAsia" w:eastAsiaTheme="minorEastAsia" w:cstheme="minorEastAsia"/>
                <w:color w:val="auto"/>
                <w:sz w:val="21"/>
                <w:szCs w:val="21"/>
                <w:lang w:val="en-US" w:eastAsia="zh-CN"/>
              </w:rPr>
              <w:t>：</w:t>
            </w:r>
          </w:p>
          <w:p w14:paraId="51D119B1">
            <w:pPr>
              <w:pStyle w:val="7"/>
              <w:keepNext w:val="0"/>
              <w:keepLines w:val="0"/>
              <w:pageBreakBefore w:val="0"/>
              <w:widowControl w:val="0"/>
              <w:kinsoku/>
              <w:wordWrap/>
              <w:overflowPunct/>
              <w:topLinePunct w:val="0"/>
              <w:autoSpaceDE/>
              <w:autoSpaceDN/>
              <w:bidi w:val="0"/>
              <w:adjustRightInd/>
              <w:snapToGrid w:val="0"/>
              <w:spacing w:line="240" w:lineRule="auto"/>
              <w:ind w:left="0" w:right="0"/>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事件查看与检索：通过portal账号登录服务门户查看事件列表，其中按状态划分，状态为待处置、已处置、处置中三中状态，支持查看的事项列表信息有事项名称、事项类型、责任单位、采购人名称、紧急程度、危害程度、下发时间、响应时长、整改次数等内容；</w:t>
            </w:r>
          </w:p>
          <w:p w14:paraId="10041E06">
            <w:pPr>
              <w:pStyle w:val="7"/>
              <w:keepNext w:val="0"/>
              <w:keepLines w:val="0"/>
              <w:pageBreakBefore w:val="0"/>
              <w:widowControl w:val="0"/>
              <w:kinsoku/>
              <w:wordWrap/>
              <w:overflowPunct/>
              <w:topLinePunct w:val="0"/>
              <w:autoSpaceDE/>
              <w:autoSpaceDN/>
              <w:bidi w:val="0"/>
              <w:adjustRightInd/>
              <w:snapToGrid w:val="0"/>
              <w:spacing w:line="240" w:lineRule="auto"/>
              <w:ind w:left="0" w:right="0"/>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事项处置管理：支持对事项进行流程化处置，其中支持上下级单位的事项下发与确认，事件处置、审核意见、事项退回、事项复测等操作，支持跟踪事项全流程节点动态；</w:t>
            </w:r>
          </w:p>
          <w:p w14:paraId="707240C7">
            <w:pPr>
              <w:pStyle w:val="7"/>
              <w:keepNext w:val="0"/>
              <w:keepLines w:val="0"/>
              <w:pageBreakBefore w:val="0"/>
              <w:widowControl w:val="0"/>
              <w:kinsoku/>
              <w:wordWrap/>
              <w:overflowPunct/>
              <w:topLinePunct w:val="0"/>
              <w:autoSpaceDE/>
              <w:autoSpaceDN/>
              <w:bidi w:val="0"/>
              <w:adjustRightInd/>
              <w:snapToGrid w:val="0"/>
              <w:spacing w:line="240" w:lineRule="auto"/>
              <w:ind w:left="0" w:right="0"/>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资产查看与检索：支持查看采购人下关联的ip资产、设备资产、网站资产、应用系统；支持以树形式查看关联的资产；支持查看所有资产的详细信息，服务门户资产暂不支持修改，数据有运营管理平台进行数据同步</w:t>
            </w:r>
          </w:p>
          <w:p w14:paraId="2E205839">
            <w:pPr>
              <w:pStyle w:val="7"/>
              <w:keepNext w:val="0"/>
              <w:keepLines w:val="0"/>
              <w:pageBreakBefore w:val="0"/>
              <w:widowControl w:val="0"/>
              <w:kinsoku/>
              <w:wordWrap/>
              <w:overflowPunct/>
              <w:topLinePunct w:val="0"/>
              <w:autoSpaceDE/>
              <w:autoSpaceDN/>
              <w:bidi w:val="0"/>
              <w:adjustRightInd/>
              <w:snapToGrid w:val="0"/>
              <w:spacing w:line="240" w:lineRule="auto"/>
              <w:ind w:left="0" w:right="0"/>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待确认资产：支持由portal账号端主动录入待确认资产信息，数据同步至运营管理端，由管理端执行资产运营入库动作；</w:t>
            </w:r>
          </w:p>
          <w:p w14:paraId="78FE27B7">
            <w:pPr>
              <w:pStyle w:val="7"/>
              <w:keepNext w:val="0"/>
              <w:keepLines w:val="0"/>
              <w:pageBreakBefore w:val="0"/>
              <w:widowControl w:val="0"/>
              <w:kinsoku/>
              <w:wordWrap/>
              <w:overflowPunct/>
              <w:topLinePunct w:val="0"/>
              <w:autoSpaceDE/>
              <w:autoSpaceDN/>
              <w:bidi w:val="0"/>
              <w:adjustRightInd/>
              <w:snapToGrid w:val="0"/>
              <w:spacing w:line="240" w:lineRule="auto"/>
              <w:ind w:left="0" w:right="0"/>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所提供的的服务门户应支持当前我司探针设备接入，或由供应商自行提供与服务门户相匹配的探针设备。</w:t>
            </w:r>
          </w:p>
        </w:tc>
        <w:tc>
          <w:tcPr>
            <w:tcW w:w="883" w:type="dxa"/>
            <w:vAlign w:val="center"/>
          </w:tcPr>
          <w:p w14:paraId="7E68994E">
            <w:pPr>
              <w:pStyle w:val="7"/>
              <w:keepNext w:val="0"/>
              <w:keepLines w:val="0"/>
              <w:pageBreakBefore w:val="0"/>
              <w:widowControl w:val="0"/>
              <w:kinsoku/>
              <w:wordWrap/>
              <w:overflowPunct/>
              <w:topLinePunct w:val="0"/>
              <w:autoSpaceDE/>
              <w:autoSpaceDN/>
              <w:bidi w:val="0"/>
              <w:adjustRightInd/>
              <w:snapToGrid w:val="0"/>
              <w:spacing w:line="240" w:lineRule="auto"/>
              <w:ind w:left="0" w:right="0"/>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3分</w:t>
            </w:r>
          </w:p>
        </w:tc>
      </w:tr>
    </w:tbl>
    <w:p w14:paraId="5394D077">
      <w:pPr>
        <w:pStyle w:val="7"/>
        <w:keepNext w:val="0"/>
        <w:keepLines w:val="0"/>
        <w:pageBreakBefore w:val="0"/>
        <w:widowControl w:val="0"/>
        <w:kinsoku/>
        <w:wordWrap/>
        <w:overflowPunct/>
        <w:topLinePunct w:val="0"/>
        <w:autoSpaceDE/>
        <w:autoSpaceDN/>
        <w:bidi w:val="0"/>
        <w:adjustRightInd/>
        <w:snapToGrid w:val="0"/>
        <w:spacing w:line="240" w:lineRule="auto"/>
        <w:ind w:left="0" w:right="0"/>
        <w:textAlignment w:val="auto"/>
        <w:rPr>
          <w:rFonts w:hint="eastAsia" w:asciiTheme="minorEastAsia" w:hAnsiTheme="minorEastAsia" w:eastAsiaTheme="minorEastAsia" w:cstheme="minorEastAsia"/>
          <w:color w:val="auto"/>
          <w:sz w:val="21"/>
          <w:szCs w:val="21"/>
          <w:lang w:val="en-US" w:eastAsia="zh-CN"/>
        </w:rPr>
      </w:pPr>
    </w:p>
    <w:p w14:paraId="3477D64B">
      <w:pPr>
        <w:rPr>
          <w:rFonts w:hint="eastAsia" w:asciiTheme="minorEastAsia" w:hAnsiTheme="minorEastAsia" w:eastAsiaTheme="minorEastAsia" w:cstheme="minorEastAsia"/>
          <w:sz w:val="21"/>
          <w:szCs w:val="21"/>
          <w:lang w:val="en-US" w:eastAsia="zh-CN"/>
        </w:rPr>
      </w:pPr>
    </w:p>
    <w:sectPr>
      <w:footerReference r:id="rId3" w:type="default"/>
      <w:pgSz w:w="11906" w:h="16838"/>
      <w:pgMar w:top="1417" w:right="1474" w:bottom="1417"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7C4B95">
    <w:pPr>
      <w:spacing w:line="170" w:lineRule="auto"/>
      <w:ind w:left="4314"/>
      <w:rPr>
        <w:rFonts w:ascii="Times New Roman" w:hAnsi="Times New Roman" w:eastAsia="Times New Roman" w:cs="Times New Roman"/>
        <w:sz w:val="14"/>
        <w:szCs w:val="14"/>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Q1ZDQxNDU1NTNhYjg5MTI3NTQzYjNjMWEzMWI2N2IifQ=="/>
  </w:docVars>
  <w:rsids>
    <w:rsidRoot w:val="26F42BFC"/>
    <w:rsid w:val="00110719"/>
    <w:rsid w:val="01E44FDB"/>
    <w:rsid w:val="03215DBB"/>
    <w:rsid w:val="06B31420"/>
    <w:rsid w:val="07DE24CD"/>
    <w:rsid w:val="12C311FE"/>
    <w:rsid w:val="1A4408B5"/>
    <w:rsid w:val="1AE23C2A"/>
    <w:rsid w:val="1B512C9C"/>
    <w:rsid w:val="1B78491A"/>
    <w:rsid w:val="22E46121"/>
    <w:rsid w:val="235002CB"/>
    <w:rsid w:val="26F42BFC"/>
    <w:rsid w:val="27734588"/>
    <w:rsid w:val="29565F0F"/>
    <w:rsid w:val="2A8E16D9"/>
    <w:rsid w:val="2C976789"/>
    <w:rsid w:val="2CFC6DCE"/>
    <w:rsid w:val="30847806"/>
    <w:rsid w:val="32A81A27"/>
    <w:rsid w:val="35091C2E"/>
    <w:rsid w:val="36287CF1"/>
    <w:rsid w:val="381E4F28"/>
    <w:rsid w:val="384635F3"/>
    <w:rsid w:val="3A501924"/>
    <w:rsid w:val="3B3D6F2F"/>
    <w:rsid w:val="3C2F4094"/>
    <w:rsid w:val="3CED228F"/>
    <w:rsid w:val="3E946E66"/>
    <w:rsid w:val="401F30A7"/>
    <w:rsid w:val="43DD297D"/>
    <w:rsid w:val="49211C3E"/>
    <w:rsid w:val="49755AE6"/>
    <w:rsid w:val="4B313C8F"/>
    <w:rsid w:val="4B69167A"/>
    <w:rsid w:val="4B7A1A88"/>
    <w:rsid w:val="4BAC573E"/>
    <w:rsid w:val="4ECD6E97"/>
    <w:rsid w:val="51C27D36"/>
    <w:rsid w:val="523A6F0D"/>
    <w:rsid w:val="52C27FEE"/>
    <w:rsid w:val="536B611A"/>
    <w:rsid w:val="537A2677"/>
    <w:rsid w:val="54D6013E"/>
    <w:rsid w:val="60934D78"/>
    <w:rsid w:val="636429FB"/>
    <w:rsid w:val="64FF31B1"/>
    <w:rsid w:val="6C8E0AE9"/>
    <w:rsid w:val="6D034D81"/>
    <w:rsid w:val="70221C74"/>
    <w:rsid w:val="705362D1"/>
    <w:rsid w:val="70F25AEA"/>
    <w:rsid w:val="78941235"/>
    <w:rsid w:val="794E5888"/>
    <w:rsid w:val="79711576"/>
    <w:rsid w:val="7D020E63"/>
    <w:rsid w:val="7E0C7AC0"/>
    <w:rsid w:val="7F007624"/>
    <w:rsid w:val="7F0151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3">
    <w:name w:val="Body Text Indent 3"/>
    <w:basedOn w:val="1"/>
    <w:qFormat/>
    <w:uiPriority w:val="0"/>
    <w:pPr>
      <w:spacing w:after="120"/>
      <w:ind w:left="420" w:leftChars="200"/>
    </w:pPr>
    <w:rPr>
      <w:sz w:val="16"/>
      <w:szCs w:val="16"/>
    </w:rPr>
  </w:style>
  <w:style w:type="paragraph" w:styleId="6">
    <w:name w:val="List Paragraph"/>
    <w:basedOn w:val="1"/>
    <w:qFormat/>
    <w:uiPriority w:val="34"/>
    <w:pPr>
      <w:ind w:firstLine="420" w:firstLineChars="200"/>
    </w:pPr>
  </w:style>
  <w:style w:type="paragraph" w:customStyle="1" w:styleId="7">
    <w:name w:val="Table Text"/>
    <w:basedOn w:val="1"/>
    <w:semiHidden/>
    <w:qFormat/>
    <w:uiPriority w:val="0"/>
    <w:rPr>
      <w:rFonts w:ascii="宋体" w:hAnsi="宋体" w:eastAsia="宋体" w:cs="宋体"/>
      <w:sz w:val="18"/>
      <w:szCs w:val="18"/>
    </w:rPr>
  </w:style>
  <w:style w:type="table" w:customStyle="1" w:styleId="8">
    <w:name w:val="Table Normal"/>
    <w:semiHidden/>
    <w:unhideWhenUsed/>
    <w:qFormat/>
    <w:uiPriority w:val="0"/>
    <w:tblPr>
      <w:tblCellMar>
        <w:top w:w="0" w:type="dxa"/>
        <w:left w:w="0" w:type="dxa"/>
        <w:bottom w:w="0" w:type="dxa"/>
        <w:right w:w="0" w:type="dxa"/>
      </w:tblCellMar>
    </w:tblPr>
  </w:style>
  <w:style w:type="character" w:customStyle="1" w:styleId="9">
    <w:name w:val="font91"/>
    <w:basedOn w:val="5"/>
    <w:qFormat/>
    <w:uiPriority w:val="0"/>
    <w:rPr>
      <w:rFonts w:hint="eastAsia" w:ascii="等线" w:hAnsi="等线" w:eastAsia="等线" w:cs="等线"/>
      <w:b/>
      <w:bCs/>
      <w:color w:val="000000"/>
      <w:sz w:val="72"/>
      <w:szCs w:val="7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2625</Words>
  <Characters>2795</Characters>
  <Lines>0</Lines>
  <Paragraphs>0</Paragraphs>
  <TotalTime>2</TotalTime>
  <ScaleCrop>false</ScaleCrop>
  <LinksUpToDate>false</LinksUpToDate>
  <CharactersWithSpaces>2798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2024-09-27T02:46:00Z</dcterms:created>
  <dc:creator>Notrue_</dc:creator>
  <cp:lastModifiedBy>对方正在输入……</cp:lastModifiedBy>
  <dcterms:modified xsi:type="dcterms:W3CDTF">2025-11-13T01:07:36Z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085F150230ED415EA37F4AC9F15C805E_13</vt:lpwstr>
  </property>
  <property fmtid="{D5CDD505-2E9C-101B-9397-08002B2CF9AE}" pid="4" name="KSOTemplateDocerSaveRecord">
    <vt:lpwstr>eyJoZGlkIjoiODk2MDRmY2VmMzdiYWM3MjNmMDhiN2Y4YzAxMjUzMTUiLCJ1c2VySWQiOiIyNTQ0MTM1ODUifQ==</vt:lpwstr>
  </property>
</Properties>
</file>