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608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kern w:val="0"/>
          <w:sz w:val="28"/>
          <w:szCs w:val="28"/>
          <w:u w:val="none"/>
          <w:lang w:val="en-US" w:eastAsia="zh-CN" w:bidi="ar"/>
        </w:rPr>
      </w:pPr>
      <w:r>
        <w:rPr>
          <w:rStyle w:val="4"/>
          <w:rFonts w:hint="eastAsia" w:ascii="黑体" w:hAnsi="黑体" w:eastAsia="黑体" w:cs="黑体"/>
          <w:b w:val="0"/>
          <w:bCs w:val="0"/>
          <w:sz w:val="28"/>
          <w:szCs w:val="28"/>
          <w:lang w:val="en-US" w:eastAsia="zh-CN" w:bidi="ar"/>
        </w:rPr>
        <w:t>附件1：网络安全服务项目采购清单</w:t>
      </w:r>
    </w:p>
    <w:tbl>
      <w:tblPr>
        <w:tblStyle w:val="2"/>
        <w:tblW w:w="9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7"/>
        <w:gridCol w:w="1898"/>
        <w:gridCol w:w="4686"/>
        <w:gridCol w:w="1565"/>
        <w:gridCol w:w="1129"/>
      </w:tblGrid>
      <w:tr w14:paraId="64A7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blHeader/>
          <w:jc w:val="center"/>
        </w:trPr>
        <w:tc>
          <w:tcPr>
            <w:tcW w:w="647" w:type="dxa"/>
            <w:tcBorders>
              <w:tl2br w:val="nil"/>
              <w:tr2bl w:val="nil"/>
            </w:tcBorders>
            <w:shd w:val="clear" w:color="auto" w:fill="auto"/>
            <w:noWrap/>
            <w:vAlign w:val="center"/>
          </w:tcPr>
          <w:p w14:paraId="0632DC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序号</w:t>
            </w:r>
          </w:p>
        </w:tc>
        <w:tc>
          <w:tcPr>
            <w:tcW w:w="1898" w:type="dxa"/>
            <w:tcBorders>
              <w:tl2br w:val="nil"/>
              <w:tr2bl w:val="nil"/>
            </w:tcBorders>
            <w:shd w:val="clear" w:color="auto" w:fill="auto"/>
            <w:vAlign w:val="center"/>
          </w:tcPr>
          <w:p w14:paraId="417506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服务类型</w:t>
            </w:r>
          </w:p>
        </w:tc>
        <w:tc>
          <w:tcPr>
            <w:tcW w:w="4686" w:type="dxa"/>
            <w:tcBorders>
              <w:tl2br w:val="nil"/>
              <w:tr2bl w:val="nil"/>
            </w:tcBorders>
            <w:shd w:val="clear" w:color="auto" w:fill="auto"/>
            <w:vAlign w:val="center"/>
          </w:tcPr>
          <w:p w14:paraId="0342A7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服务内容</w:t>
            </w:r>
          </w:p>
        </w:tc>
        <w:tc>
          <w:tcPr>
            <w:tcW w:w="1565" w:type="dxa"/>
            <w:tcBorders>
              <w:tl2br w:val="nil"/>
              <w:tr2bl w:val="nil"/>
            </w:tcBorders>
            <w:shd w:val="clear" w:color="auto" w:fill="auto"/>
            <w:noWrap/>
            <w:vAlign w:val="center"/>
          </w:tcPr>
          <w:p w14:paraId="4EF936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交付物</w:t>
            </w:r>
          </w:p>
        </w:tc>
        <w:tc>
          <w:tcPr>
            <w:tcW w:w="1129" w:type="dxa"/>
            <w:tcBorders>
              <w:tl2br w:val="nil"/>
              <w:tr2bl w:val="nil"/>
            </w:tcBorders>
            <w:shd w:val="clear" w:color="auto" w:fill="auto"/>
            <w:noWrap/>
            <w:vAlign w:val="center"/>
          </w:tcPr>
          <w:p w14:paraId="7FF561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频率</w:t>
            </w:r>
          </w:p>
        </w:tc>
      </w:tr>
      <w:tr w14:paraId="1278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2" w:hRule="atLeast"/>
          <w:jc w:val="center"/>
        </w:trPr>
        <w:tc>
          <w:tcPr>
            <w:tcW w:w="647" w:type="dxa"/>
            <w:tcBorders>
              <w:tl2br w:val="nil"/>
              <w:tr2bl w:val="nil"/>
            </w:tcBorders>
            <w:shd w:val="clear" w:color="auto" w:fill="auto"/>
            <w:noWrap/>
            <w:vAlign w:val="center"/>
          </w:tcPr>
          <w:p w14:paraId="1CF4F5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898" w:type="dxa"/>
            <w:tcBorders>
              <w:tl2br w:val="nil"/>
              <w:tr2bl w:val="nil"/>
            </w:tcBorders>
            <w:shd w:val="clear" w:color="auto" w:fill="auto"/>
            <w:vAlign w:val="center"/>
          </w:tcPr>
          <w:p w14:paraId="446002A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渗透测试服务</w:t>
            </w:r>
          </w:p>
        </w:tc>
        <w:tc>
          <w:tcPr>
            <w:tcW w:w="4686" w:type="dxa"/>
            <w:tcBorders>
              <w:tl2br w:val="nil"/>
              <w:tr2bl w:val="nil"/>
            </w:tcBorders>
            <w:shd w:val="clear" w:color="auto" w:fill="auto"/>
            <w:vAlign w:val="center"/>
          </w:tcPr>
          <w:p w14:paraId="56B81A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 提供安全渗透检测服务，由专业安全人员模拟入侵者所用的常见手段对测试目标发起模拟入侵的过程，高强度的检测系统安全漏洞提供安全漏洞修补建议。对web等进行模拟攻击测试，获取相关权限,包括暴力破解、溢出攻击、监听、SQL注入、XSS、业务测试等手段，获取相关权限,测试以获得权限为目的；对新业务系统做上线前安全检测，分析信息系统所面临的威胁及其存在的脆弱性，评估安全事件一旦发生可能造成的危害程度，并以此识别信息系统的安全风险，提出相应的整改方案。</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 根据整改报告协助督促各产商整改，直至解决落实所有的解决方案。帮助单位预防和解决潜在的安全风险，保障业务系统上线后安全。</w:t>
            </w:r>
          </w:p>
        </w:tc>
        <w:tc>
          <w:tcPr>
            <w:tcW w:w="1565" w:type="dxa"/>
            <w:tcBorders>
              <w:tl2br w:val="nil"/>
              <w:tr2bl w:val="nil"/>
            </w:tcBorders>
            <w:shd w:val="clear" w:color="auto" w:fill="auto"/>
            <w:vAlign w:val="center"/>
          </w:tcPr>
          <w:p w14:paraId="7474C51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《渗透测试报告》</w:t>
            </w:r>
          </w:p>
        </w:tc>
        <w:tc>
          <w:tcPr>
            <w:tcW w:w="1129" w:type="dxa"/>
            <w:tcBorders>
              <w:tl2br w:val="nil"/>
              <w:tr2bl w:val="nil"/>
            </w:tcBorders>
            <w:shd w:val="clear" w:color="auto" w:fill="auto"/>
            <w:vAlign w:val="center"/>
          </w:tcPr>
          <w:p w14:paraId="5E65093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p w14:paraId="7305181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3套系统</w:t>
            </w:r>
          </w:p>
        </w:tc>
      </w:tr>
      <w:tr w14:paraId="6233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63" w:hRule="atLeast"/>
          <w:jc w:val="center"/>
        </w:trPr>
        <w:tc>
          <w:tcPr>
            <w:tcW w:w="647" w:type="dxa"/>
            <w:tcBorders>
              <w:tl2br w:val="nil"/>
              <w:tr2bl w:val="nil"/>
            </w:tcBorders>
            <w:shd w:val="clear" w:color="auto" w:fill="auto"/>
            <w:noWrap/>
            <w:vAlign w:val="center"/>
          </w:tcPr>
          <w:p w14:paraId="2D2BE2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898" w:type="dxa"/>
            <w:tcBorders>
              <w:tl2br w:val="nil"/>
              <w:tr2bl w:val="nil"/>
            </w:tcBorders>
            <w:shd w:val="clear" w:color="auto" w:fill="auto"/>
            <w:vAlign w:val="center"/>
          </w:tcPr>
          <w:p w14:paraId="1F2EA2B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基础环境评估服务（漏扫+基线）</w:t>
            </w:r>
          </w:p>
        </w:tc>
        <w:tc>
          <w:tcPr>
            <w:tcW w:w="4686" w:type="dxa"/>
            <w:tcBorders>
              <w:tl2br w:val="nil"/>
              <w:tr2bl w:val="nil"/>
            </w:tcBorders>
            <w:shd w:val="clear" w:color="auto" w:fill="auto"/>
            <w:vAlign w:val="center"/>
          </w:tcPr>
          <w:p w14:paraId="58E7EF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通过评估工具以本地扫描的方式对评估范围内的系统和网络进行安全扫描，从内网和外网两个角度来查找网络结构、网络设备、服务器主机、数据和用户账号/口令等安全对象目标存在的安全风险、漏洞和威胁。</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2、采用最佳配置核查实践对操作系统、数据库、中间件、网络设备、网络安全设备进行配置核查。</w:t>
            </w:r>
          </w:p>
        </w:tc>
        <w:tc>
          <w:tcPr>
            <w:tcW w:w="1565" w:type="dxa"/>
            <w:tcBorders>
              <w:tl2br w:val="nil"/>
              <w:tr2bl w:val="nil"/>
            </w:tcBorders>
            <w:shd w:val="clear" w:color="auto" w:fill="auto"/>
            <w:vAlign w:val="center"/>
          </w:tcPr>
          <w:p w14:paraId="47AE1F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《安全漏洞扫描报告》</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《安全基线检查报告》</w:t>
            </w:r>
          </w:p>
        </w:tc>
        <w:tc>
          <w:tcPr>
            <w:tcW w:w="1129" w:type="dxa"/>
            <w:tcBorders>
              <w:tl2br w:val="nil"/>
              <w:tr2bl w:val="nil"/>
            </w:tcBorders>
            <w:shd w:val="clear" w:color="auto" w:fill="auto"/>
            <w:vAlign w:val="center"/>
          </w:tcPr>
          <w:p w14:paraId="0A27ED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1次/季度</w:t>
            </w:r>
          </w:p>
        </w:tc>
      </w:tr>
      <w:tr w14:paraId="10DC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47" w:type="dxa"/>
            <w:tcBorders>
              <w:tl2br w:val="nil"/>
              <w:tr2bl w:val="nil"/>
            </w:tcBorders>
            <w:shd w:val="clear" w:color="auto" w:fill="auto"/>
            <w:noWrap/>
            <w:vAlign w:val="center"/>
          </w:tcPr>
          <w:p w14:paraId="4941E3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898" w:type="dxa"/>
            <w:tcBorders>
              <w:tl2br w:val="nil"/>
              <w:tr2bl w:val="nil"/>
            </w:tcBorders>
            <w:shd w:val="clear" w:color="auto" w:fill="auto"/>
            <w:vAlign w:val="center"/>
          </w:tcPr>
          <w:p w14:paraId="7020C0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攻防演习防守服务</w:t>
            </w:r>
          </w:p>
        </w:tc>
        <w:tc>
          <w:tcPr>
            <w:tcW w:w="4686" w:type="dxa"/>
            <w:tcBorders>
              <w:tl2br w:val="nil"/>
              <w:tr2bl w:val="nil"/>
            </w:tcBorders>
            <w:shd w:val="clear" w:color="auto" w:fill="auto"/>
            <w:vAlign w:val="center"/>
          </w:tcPr>
          <w:p w14:paraId="7021A1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为“护网”、“攻防演习”中防守单位提供支撑服务，做到事前现场资产梳理与风险检查，事中监测分析与应急处置，事后总结与安全加固，在实战中有效提升网络安全保障能力。</w:t>
            </w:r>
          </w:p>
        </w:tc>
        <w:tc>
          <w:tcPr>
            <w:tcW w:w="1565" w:type="dxa"/>
            <w:tcBorders>
              <w:tl2br w:val="nil"/>
              <w:tr2bl w:val="nil"/>
            </w:tcBorders>
            <w:shd w:val="clear" w:color="auto" w:fill="auto"/>
            <w:vAlign w:val="center"/>
          </w:tcPr>
          <w:p w14:paraId="336C6CC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《攻防演习防守日报》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《攻防演习防守总结》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《攻防演习防守工作方案》</w:t>
            </w:r>
          </w:p>
        </w:tc>
        <w:tc>
          <w:tcPr>
            <w:tcW w:w="1129" w:type="dxa"/>
            <w:tcBorders>
              <w:tl2br w:val="nil"/>
              <w:tr2bl w:val="nil"/>
            </w:tcBorders>
            <w:shd w:val="clear" w:color="auto" w:fill="auto"/>
            <w:vAlign w:val="center"/>
          </w:tcPr>
          <w:p w14:paraId="1770D1F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按需/年</w:t>
            </w:r>
          </w:p>
        </w:tc>
      </w:tr>
      <w:tr w14:paraId="41567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647" w:type="dxa"/>
            <w:tcBorders>
              <w:tl2br w:val="nil"/>
              <w:tr2bl w:val="nil"/>
            </w:tcBorders>
            <w:shd w:val="clear" w:color="auto" w:fill="auto"/>
            <w:noWrap/>
            <w:vAlign w:val="center"/>
          </w:tcPr>
          <w:p w14:paraId="0F96AC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1898" w:type="dxa"/>
            <w:tcBorders>
              <w:tl2br w:val="nil"/>
              <w:tr2bl w:val="nil"/>
            </w:tcBorders>
            <w:shd w:val="clear" w:color="auto" w:fill="auto"/>
            <w:vAlign w:val="center"/>
          </w:tcPr>
          <w:p w14:paraId="2FA0E5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互联网资产发现/企业网络资产排查</w:t>
            </w:r>
          </w:p>
        </w:tc>
        <w:tc>
          <w:tcPr>
            <w:tcW w:w="4686" w:type="dxa"/>
            <w:tcBorders>
              <w:tl2br w:val="nil"/>
              <w:tr2bl w:val="nil"/>
            </w:tcBorders>
            <w:shd w:val="clear" w:color="auto" w:fill="auto"/>
            <w:vAlign w:val="center"/>
          </w:tcPr>
          <w:p w14:paraId="262F8E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过数据挖掘和调研的方式确定企业资产范围，之后基于IP或域名，采用各类探测技术，对信息系统相关的主机/服务器、安全设备、网络设备、工控设备、WEB应用、中间件、数据库、邮件系统和DNS系统等进行主动发现，并生成资产及应用列表，列表中不仅包括设备类型、域名、IP、端口，更可深入识别运行在资产上的中间件、应用、技术架构的详细情况（类型、版本、服务名称等）。</w:t>
            </w:r>
          </w:p>
        </w:tc>
        <w:tc>
          <w:tcPr>
            <w:tcW w:w="1565" w:type="dxa"/>
            <w:tcBorders>
              <w:tl2br w:val="nil"/>
              <w:tr2bl w:val="nil"/>
            </w:tcBorders>
            <w:shd w:val="clear" w:color="auto" w:fill="auto"/>
            <w:vAlign w:val="center"/>
          </w:tcPr>
          <w:p w14:paraId="17BFE6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《互联网资产排查报告》</w:t>
            </w:r>
          </w:p>
        </w:tc>
        <w:tc>
          <w:tcPr>
            <w:tcW w:w="1129" w:type="dxa"/>
            <w:tcBorders>
              <w:tl2br w:val="nil"/>
              <w:tr2bl w:val="nil"/>
            </w:tcBorders>
            <w:shd w:val="clear" w:color="auto" w:fill="auto"/>
            <w:vAlign w:val="center"/>
          </w:tcPr>
          <w:p w14:paraId="26617B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1次/年</w:t>
            </w:r>
          </w:p>
        </w:tc>
      </w:tr>
      <w:tr w14:paraId="0615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7" w:hRule="atLeast"/>
          <w:jc w:val="center"/>
        </w:trPr>
        <w:tc>
          <w:tcPr>
            <w:tcW w:w="647" w:type="dxa"/>
            <w:vMerge w:val="restart"/>
            <w:tcBorders>
              <w:tl2br w:val="nil"/>
              <w:tr2bl w:val="nil"/>
            </w:tcBorders>
            <w:shd w:val="clear" w:color="auto" w:fill="auto"/>
            <w:noWrap/>
            <w:vAlign w:val="center"/>
          </w:tcPr>
          <w:p w14:paraId="256568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898" w:type="dxa"/>
            <w:vMerge w:val="restart"/>
            <w:tcBorders>
              <w:tl2br w:val="nil"/>
              <w:tr2bl w:val="nil"/>
            </w:tcBorders>
            <w:shd w:val="clear" w:color="auto" w:fill="auto"/>
            <w:vAlign w:val="center"/>
          </w:tcPr>
          <w:p w14:paraId="57518B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安全运营服务</w:t>
            </w:r>
          </w:p>
        </w:tc>
        <w:tc>
          <w:tcPr>
            <w:tcW w:w="4686" w:type="dxa"/>
            <w:tcBorders>
              <w:tl2br w:val="nil"/>
              <w:tr2bl w:val="nil"/>
            </w:tcBorders>
            <w:shd w:val="clear" w:color="auto" w:fill="auto"/>
            <w:vAlign w:val="center"/>
          </w:tcPr>
          <w:p w14:paraId="250321E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通过7*24小时安全监测，发现网络流量中的网络安全攻击、网络安全脆弱性等问题，并将检测数据回传至安全运营平台进行监测分析。</w:t>
            </w:r>
          </w:p>
        </w:tc>
        <w:tc>
          <w:tcPr>
            <w:tcW w:w="1565" w:type="dxa"/>
            <w:tcBorders>
              <w:tl2br w:val="nil"/>
              <w:tr2bl w:val="nil"/>
            </w:tcBorders>
            <w:shd w:val="clear" w:color="auto" w:fill="auto"/>
            <w:vAlign w:val="center"/>
          </w:tcPr>
          <w:p w14:paraId="03A081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129" w:type="dxa"/>
            <w:vMerge w:val="restart"/>
            <w:tcBorders>
              <w:tl2br w:val="nil"/>
              <w:tr2bl w:val="nil"/>
            </w:tcBorders>
            <w:shd w:val="clear" w:color="auto" w:fill="auto"/>
            <w:noWrap/>
            <w:vAlign w:val="center"/>
          </w:tcPr>
          <w:p w14:paraId="2C2A1DA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r>
      <w:tr w14:paraId="28C2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2" w:hRule="atLeast"/>
          <w:jc w:val="center"/>
        </w:trPr>
        <w:tc>
          <w:tcPr>
            <w:tcW w:w="647" w:type="dxa"/>
            <w:vMerge w:val="continue"/>
            <w:tcBorders>
              <w:tl2br w:val="nil"/>
              <w:tr2bl w:val="nil"/>
            </w:tcBorders>
            <w:shd w:val="clear" w:color="auto" w:fill="auto"/>
            <w:noWrap/>
            <w:vAlign w:val="center"/>
          </w:tcPr>
          <w:p w14:paraId="4012EC20">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898" w:type="dxa"/>
            <w:vMerge w:val="continue"/>
            <w:tcBorders>
              <w:tl2br w:val="nil"/>
              <w:tr2bl w:val="nil"/>
            </w:tcBorders>
            <w:shd w:val="clear" w:color="auto" w:fill="auto"/>
            <w:vAlign w:val="center"/>
          </w:tcPr>
          <w:p w14:paraId="7AD5B4BC">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686" w:type="dxa"/>
            <w:tcBorders>
              <w:tl2br w:val="nil"/>
              <w:tr2bl w:val="nil"/>
            </w:tcBorders>
            <w:shd w:val="clear" w:color="auto" w:fill="auto"/>
            <w:vAlign w:val="center"/>
          </w:tcPr>
          <w:p w14:paraId="2F28774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资产发现、流量安全检测、威胁情报，以及人工数据录入等安全数据，由专业安全技术人员基于攻防视角进行全面地监测分析，对各类安全告警事件开展手工验证，并根据相关规则优化分析能力，提高分析结果的准确性，及时发现掌握业务应用系统的安全状况，分析内容包括网页漏洞利用分析、网络攻击分析、数据库安全分析、恶意软件分析、密码爆破行为分析等。</w:t>
            </w:r>
          </w:p>
        </w:tc>
        <w:tc>
          <w:tcPr>
            <w:tcW w:w="1565" w:type="dxa"/>
            <w:tcBorders>
              <w:tl2br w:val="nil"/>
              <w:tr2bl w:val="nil"/>
            </w:tcBorders>
            <w:shd w:val="clear" w:color="auto" w:fill="auto"/>
            <w:vAlign w:val="center"/>
          </w:tcPr>
          <w:p w14:paraId="5901A7A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129" w:type="dxa"/>
            <w:vMerge w:val="continue"/>
            <w:tcBorders>
              <w:tl2br w:val="nil"/>
              <w:tr2bl w:val="nil"/>
            </w:tcBorders>
            <w:shd w:val="clear" w:color="auto" w:fill="auto"/>
            <w:noWrap/>
            <w:vAlign w:val="center"/>
          </w:tcPr>
          <w:p w14:paraId="621BC3BD">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r>
      <w:tr w14:paraId="5F74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647" w:type="dxa"/>
            <w:vMerge w:val="continue"/>
            <w:tcBorders>
              <w:tl2br w:val="nil"/>
              <w:tr2bl w:val="nil"/>
            </w:tcBorders>
            <w:shd w:val="clear" w:color="auto" w:fill="auto"/>
            <w:noWrap/>
            <w:vAlign w:val="center"/>
          </w:tcPr>
          <w:p w14:paraId="3E5DDACA">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898" w:type="dxa"/>
            <w:vMerge w:val="continue"/>
            <w:tcBorders>
              <w:tl2br w:val="nil"/>
              <w:tr2bl w:val="nil"/>
            </w:tcBorders>
            <w:shd w:val="clear" w:color="auto" w:fill="auto"/>
            <w:vAlign w:val="center"/>
          </w:tcPr>
          <w:p w14:paraId="78C8C32B">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686" w:type="dxa"/>
            <w:tcBorders>
              <w:tl2br w:val="nil"/>
              <w:tr2bl w:val="nil"/>
            </w:tcBorders>
            <w:shd w:val="clear" w:color="auto" w:fill="auto"/>
            <w:vAlign w:val="center"/>
          </w:tcPr>
          <w:p w14:paraId="11804B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对用户上报的安全事件进行及时响应，通过对异常流量、攻击日志及病毒日志分析，实时发现安全事件并协助用户进行处置闭环，帮助客户快速恢复业务，消除或减轻影响。</w:t>
            </w:r>
          </w:p>
        </w:tc>
        <w:tc>
          <w:tcPr>
            <w:tcW w:w="1565" w:type="dxa"/>
            <w:tcBorders>
              <w:tl2br w:val="nil"/>
              <w:tr2bl w:val="nil"/>
            </w:tcBorders>
            <w:shd w:val="clear" w:color="auto" w:fill="auto"/>
            <w:vAlign w:val="center"/>
          </w:tcPr>
          <w:p w14:paraId="33D9E3E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129" w:type="dxa"/>
            <w:vMerge w:val="continue"/>
            <w:tcBorders>
              <w:tl2br w:val="nil"/>
              <w:tr2bl w:val="nil"/>
            </w:tcBorders>
            <w:shd w:val="clear" w:color="auto" w:fill="auto"/>
            <w:noWrap/>
            <w:vAlign w:val="center"/>
          </w:tcPr>
          <w:p w14:paraId="074199D0">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r>
      <w:tr w14:paraId="66853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647" w:type="dxa"/>
            <w:vMerge w:val="continue"/>
            <w:tcBorders>
              <w:tl2br w:val="nil"/>
              <w:tr2bl w:val="nil"/>
            </w:tcBorders>
            <w:shd w:val="clear" w:color="auto" w:fill="auto"/>
            <w:noWrap/>
            <w:vAlign w:val="center"/>
          </w:tcPr>
          <w:p w14:paraId="424CCA29">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898" w:type="dxa"/>
            <w:vMerge w:val="continue"/>
            <w:tcBorders>
              <w:tl2br w:val="nil"/>
              <w:tr2bl w:val="nil"/>
            </w:tcBorders>
            <w:shd w:val="clear" w:color="auto" w:fill="auto"/>
            <w:vAlign w:val="center"/>
          </w:tcPr>
          <w:p w14:paraId="72E27826">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686" w:type="dxa"/>
            <w:tcBorders>
              <w:tl2br w:val="nil"/>
              <w:tr2bl w:val="nil"/>
            </w:tcBorders>
            <w:shd w:val="clear" w:color="auto" w:fill="auto"/>
            <w:vAlign w:val="center"/>
          </w:tcPr>
          <w:p w14:paraId="1A08F4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根据用户实际运营情况，输出安全运营月报。</w:t>
            </w:r>
          </w:p>
        </w:tc>
        <w:tc>
          <w:tcPr>
            <w:tcW w:w="1565" w:type="dxa"/>
            <w:tcBorders>
              <w:tl2br w:val="nil"/>
              <w:tr2bl w:val="nil"/>
            </w:tcBorders>
            <w:shd w:val="clear" w:color="auto" w:fill="auto"/>
            <w:vAlign w:val="center"/>
          </w:tcPr>
          <w:p w14:paraId="38D6F7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安全运营月报</w:t>
            </w:r>
          </w:p>
        </w:tc>
        <w:tc>
          <w:tcPr>
            <w:tcW w:w="1129" w:type="dxa"/>
            <w:vMerge w:val="continue"/>
            <w:tcBorders>
              <w:tl2br w:val="nil"/>
              <w:tr2bl w:val="nil"/>
            </w:tcBorders>
            <w:shd w:val="clear" w:color="auto" w:fill="auto"/>
            <w:noWrap/>
            <w:vAlign w:val="center"/>
          </w:tcPr>
          <w:p w14:paraId="37E3F11F">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r>
      <w:tr w14:paraId="4E30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1" w:hRule="atLeast"/>
          <w:jc w:val="center"/>
        </w:trPr>
        <w:tc>
          <w:tcPr>
            <w:tcW w:w="647" w:type="dxa"/>
            <w:tcBorders>
              <w:tl2br w:val="nil"/>
              <w:tr2bl w:val="nil"/>
            </w:tcBorders>
            <w:shd w:val="clear" w:color="auto" w:fill="auto"/>
            <w:noWrap/>
            <w:vAlign w:val="center"/>
          </w:tcPr>
          <w:p w14:paraId="63A514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898" w:type="dxa"/>
            <w:tcBorders>
              <w:tl2br w:val="nil"/>
              <w:tr2bl w:val="nil"/>
            </w:tcBorders>
            <w:shd w:val="clear" w:color="auto" w:fill="auto"/>
            <w:vAlign w:val="center"/>
          </w:tcPr>
          <w:p w14:paraId="0FB09D7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安全巡检服务（含服务器主机加固）</w:t>
            </w:r>
          </w:p>
        </w:tc>
        <w:tc>
          <w:tcPr>
            <w:tcW w:w="4686" w:type="dxa"/>
            <w:tcBorders>
              <w:tl2br w:val="nil"/>
              <w:tr2bl w:val="nil"/>
            </w:tcBorders>
            <w:shd w:val="clear" w:color="auto" w:fill="auto"/>
            <w:vAlign w:val="center"/>
          </w:tcPr>
          <w:p w14:paraId="6ECECAE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cstheme="minorEastAsia"/>
                <w:b w:val="0"/>
                <w:bCs w:val="0"/>
                <w:i w:val="0"/>
                <w:iCs w:val="0"/>
                <w:color w:val="000000"/>
                <w:kern w:val="0"/>
                <w:sz w:val="21"/>
                <w:szCs w:val="21"/>
                <w:u w:val="none"/>
                <w:lang w:val="en-US" w:eastAsia="zh-CN" w:bidi="ar"/>
              </w:rPr>
              <w:t>派遣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专业技术人员在现场对网站系统，服务器和网络安全设备进行安全检查，进行木马查杀、攻击日志分析、漏洞扫描等手段全面核查分析，发现高风险问题，及时开展安全加固工作。加固工作包含:</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1、提供服务器安全加固服务，提供加固工具，工具可实现对云端与本地服务器的统一运维管理、安全策略维护及全网安全日志分析、威胁溯源等。</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2、通过服务器加固工具，实现安全加固操作系统和应用，有效防御服务器的黑客入侵和恶意代码，并提供微隔离、资产清点、风险管理、补丁管理、基线检查、攻击溯源等一体化服务器安全加固服务。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3、加固工具首页界面支持展示资产数量显示，包含服务器、进程、web 框架、数据库、账户、软件应用、口、网络连接、web 服务、安装包等显示。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4、加固工具支持根据策略对</w:t>
            </w:r>
            <w:bookmarkStart w:id="0" w:name="_GoBack"/>
            <w:bookmarkEnd w:id="0"/>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病毒文件进行检测和告警，对病毒样本基本库至少能检测其中的95%。对病毒样本流行库至少能检测其中的98%，对误报样本库的误报率不能超过0.1%。支持对虚拟化环境中统一检测的策略管理，避免统一检测对虚拟化环境应用造成影响。</w:t>
            </w:r>
          </w:p>
        </w:tc>
        <w:tc>
          <w:tcPr>
            <w:tcW w:w="1565" w:type="dxa"/>
            <w:tcBorders>
              <w:tl2br w:val="nil"/>
              <w:tr2bl w:val="nil"/>
            </w:tcBorders>
            <w:shd w:val="clear" w:color="auto" w:fill="auto"/>
            <w:vAlign w:val="center"/>
          </w:tcPr>
          <w:p w14:paraId="021E7EB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《安全巡检报告》</w:t>
            </w:r>
          </w:p>
        </w:tc>
        <w:tc>
          <w:tcPr>
            <w:tcW w:w="1129" w:type="dxa"/>
            <w:tcBorders>
              <w:tl2br w:val="nil"/>
              <w:tr2bl w:val="nil"/>
            </w:tcBorders>
            <w:shd w:val="clear" w:color="auto" w:fill="auto"/>
            <w:noWrap/>
            <w:vAlign w:val="center"/>
          </w:tcPr>
          <w:p w14:paraId="41063F0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2次/年</w:t>
            </w:r>
          </w:p>
        </w:tc>
      </w:tr>
      <w:tr w14:paraId="3093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61" w:hRule="atLeast"/>
          <w:jc w:val="center"/>
        </w:trPr>
        <w:tc>
          <w:tcPr>
            <w:tcW w:w="647" w:type="dxa"/>
            <w:tcBorders>
              <w:tl2br w:val="nil"/>
              <w:tr2bl w:val="nil"/>
            </w:tcBorders>
            <w:shd w:val="clear" w:color="auto" w:fill="auto"/>
            <w:noWrap/>
            <w:vAlign w:val="center"/>
          </w:tcPr>
          <w:p w14:paraId="0098C1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898" w:type="dxa"/>
            <w:tcBorders>
              <w:tl2br w:val="nil"/>
              <w:tr2bl w:val="nil"/>
            </w:tcBorders>
            <w:shd w:val="clear" w:color="auto" w:fill="auto"/>
            <w:vAlign w:val="center"/>
          </w:tcPr>
          <w:p w14:paraId="63E7039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日常应急响应服务</w:t>
            </w:r>
          </w:p>
        </w:tc>
        <w:tc>
          <w:tcPr>
            <w:tcW w:w="4686" w:type="dxa"/>
            <w:tcBorders>
              <w:tl2br w:val="nil"/>
              <w:tr2bl w:val="nil"/>
            </w:tcBorders>
            <w:shd w:val="clear" w:color="auto" w:fill="auto"/>
            <w:vAlign w:val="center"/>
          </w:tcPr>
          <w:p w14:paraId="12194DB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1.当发生安全事件时，及时进行响应。提供专业安全工程师协助进行问题溯源分析，查找问题来源，进行应急处理，提供相关报告和改进优化建议。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2.支撑方式：可远程或现场方式，大故障或者重大故障必须提供现场支撑。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3.时效性：5分钟内电话响应，30分钟内远程响应支撑，需现场支撑事件要求2小时内现场支持。</w:t>
            </w:r>
          </w:p>
        </w:tc>
        <w:tc>
          <w:tcPr>
            <w:tcW w:w="1565" w:type="dxa"/>
            <w:tcBorders>
              <w:tl2br w:val="nil"/>
              <w:tr2bl w:val="nil"/>
            </w:tcBorders>
            <w:shd w:val="clear" w:color="auto" w:fill="auto"/>
            <w:vAlign w:val="center"/>
          </w:tcPr>
          <w:p w14:paraId="3630C01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《应急响应报告》</w:t>
            </w:r>
          </w:p>
        </w:tc>
        <w:tc>
          <w:tcPr>
            <w:tcW w:w="1129" w:type="dxa"/>
            <w:tcBorders>
              <w:tl2br w:val="nil"/>
              <w:tr2bl w:val="nil"/>
            </w:tcBorders>
            <w:shd w:val="clear" w:color="auto" w:fill="auto"/>
            <w:noWrap/>
            <w:vAlign w:val="center"/>
          </w:tcPr>
          <w:p w14:paraId="5CA15B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全年</w:t>
            </w:r>
          </w:p>
        </w:tc>
      </w:tr>
      <w:tr w14:paraId="1BF5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1" w:hRule="atLeast"/>
          <w:jc w:val="center"/>
        </w:trPr>
        <w:tc>
          <w:tcPr>
            <w:tcW w:w="647" w:type="dxa"/>
            <w:tcBorders>
              <w:tl2br w:val="nil"/>
              <w:tr2bl w:val="nil"/>
            </w:tcBorders>
            <w:shd w:val="clear" w:color="auto" w:fill="auto"/>
            <w:noWrap/>
            <w:vAlign w:val="center"/>
          </w:tcPr>
          <w:p w14:paraId="28C305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w:t>
            </w:r>
          </w:p>
        </w:tc>
        <w:tc>
          <w:tcPr>
            <w:tcW w:w="1898" w:type="dxa"/>
            <w:tcBorders>
              <w:tl2br w:val="nil"/>
              <w:tr2bl w:val="nil"/>
            </w:tcBorders>
            <w:shd w:val="clear" w:color="auto" w:fill="auto"/>
            <w:vAlign w:val="center"/>
          </w:tcPr>
          <w:p w14:paraId="0CE8551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安全通告预警</w:t>
            </w:r>
          </w:p>
        </w:tc>
        <w:tc>
          <w:tcPr>
            <w:tcW w:w="4686" w:type="dxa"/>
            <w:tcBorders>
              <w:tl2br w:val="nil"/>
              <w:tr2bl w:val="nil"/>
            </w:tcBorders>
            <w:shd w:val="clear" w:color="auto" w:fill="auto"/>
            <w:vAlign w:val="center"/>
          </w:tcPr>
          <w:p w14:paraId="29248B2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预警是定期以邮件或当面沟通形式向用户通告业内安全态势、重大舆情信息、重要系统漏洞及补丁信息等:对于紧急重大类漏洞信息，以最快时间通过邮件或电话向客户告知漏洞危害、影响范围及应对方案等。</w:t>
            </w:r>
          </w:p>
        </w:tc>
        <w:tc>
          <w:tcPr>
            <w:tcW w:w="1565" w:type="dxa"/>
            <w:tcBorders>
              <w:tl2br w:val="nil"/>
              <w:tr2bl w:val="nil"/>
            </w:tcBorders>
            <w:shd w:val="clear" w:color="auto" w:fill="auto"/>
            <w:vAlign w:val="center"/>
          </w:tcPr>
          <w:p w14:paraId="556CF41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w:t>
            </w:r>
          </w:p>
        </w:tc>
        <w:tc>
          <w:tcPr>
            <w:tcW w:w="1129" w:type="dxa"/>
            <w:tcBorders>
              <w:tl2br w:val="nil"/>
              <w:tr2bl w:val="nil"/>
            </w:tcBorders>
            <w:shd w:val="clear" w:color="auto" w:fill="auto"/>
            <w:noWrap/>
            <w:vAlign w:val="center"/>
          </w:tcPr>
          <w:p w14:paraId="59C9DC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全年</w:t>
            </w:r>
          </w:p>
        </w:tc>
      </w:tr>
      <w:tr w14:paraId="3FF40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9" w:hRule="atLeast"/>
          <w:jc w:val="center"/>
        </w:trPr>
        <w:tc>
          <w:tcPr>
            <w:tcW w:w="647" w:type="dxa"/>
            <w:tcBorders>
              <w:tl2br w:val="nil"/>
              <w:tr2bl w:val="nil"/>
            </w:tcBorders>
            <w:shd w:val="clear" w:color="auto" w:fill="auto"/>
            <w:noWrap/>
            <w:vAlign w:val="center"/>
          </w:tcPr>
          <w:p w14:paraId="663367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w:t>
            </w:r>
          </w:p>
        </w:tc>
        <w:tc>
          <w:tcPr>
            <w:tcW w:w="1898" w:type="dxa"/>
            <w:tcBorders>
              <w:tl2br w:val="nil"/>
              <w:tr2bl w:val="nil"/>
            </w:tcBorders>
            <w:shd w:val="clear" w:color="auto" w:fill="auto"/>
            <w:vAlign w:val="center"/>
          </w:tcPr>
          <w:p w14:paraId="68D092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安全培训</w:t>
            </w:r>
          </w:p>
        </w:tc>
        <w:tc>
          <w:tcPr>
            <w:tcW w:w="4686" w:type="dxa"/>
            <w:tcBorders>
              <w:tl2br w:val="nil"/>
              <w:tr2bl w:val="nil"/>
            </w:tcBorders>
            <w:shd w:val="clear" w:color="auto" w:fill="auto"/>
            <w:vAlign w:val="center"/>
          </w:tcPr>
          <w:p w14:paraId="0FAA9BC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内容涵盖安全领域的各个多面，通过安全专题培训的学习和配套的教学实验，进一步提高客户对信息安全工作的重视，加强提升信息安全主管部门专业化工作水平，保障业务连续稳定。</w:t>
            </w:r>
          </w:p>
        </w:tc>
        <w:tc>
          <w:tcPr>
            <w:tcW w:w="1565" w:type="dxa"/>
            <w:tcBorders>
              <w:tl2br w:val="nil"/>
              <w:tr2bl w:val="nil"/>
            </w:tcBorders>
            <w:shd w:val="clear" w:color="auto" w:fill="auto"/>
            <w:vAlign w:val="center"/>
          </w:tcPr>
          <w:p w14:paraId="52A0DF3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《全员安全意识培训PPT》</w:t>
            </w:r>
          </w:p>
        </w:tc>
        <w:tc>
          <w:tcPr>
            <w:tcW w:w="1129" w:type="dxa"/>
            <w:tcBorders>
              <w:tl2br w:val="nil"/>
              <w:tr2bl w:val="nil"/>
            </w:tcBorders>
            <w:shd w:val="clear" w:color="auto" w:fill="auto"/>
            <w:noWrap/>
            <w:vAlign w:val="center"/>
          </w:tcPr>
          <w:p w14:paraId="2034A90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1次/年</w:t>
            </w:r>
          </w:p>
        </w:tc>
      </w:tr>
      <w:tr w14:paraId="1C42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8" w:hRule="atLeast"/>
          <w:jc w:val="center"/>
        </w:trPr>
        <w:tc>
          <w:tcPr>
            <w:tcW w:w="647" w:type="dxa"/>
            <w:tcBorders>
              <w:tl2br w:val="nil"/>
              <w:tr2bl w:val="nil"/>
            </w:tcBorders>
            <w:shd w:val="clear" w:color="auto" w:fill="auto"/>
            <w:noWrap/>
            <w:vAlign w:val="center"/>
          </w:tcPr>
          <w:p w14:paraId="572229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898" w:type="dxa"/>
            <w:tcBorders>
              <w:tl2br w:val="nil"/>
              <w:tr2bl w:val="nil"/>
            </w:tcBorders>
            <w:shd w:val="clear" w:color="auto" w:fill="auto"/>
            <w:vAlign w:val="center"/>
          </w:tcPr>
          <w:p w14:paraId="43542E6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网络安全等级保护测评服务(三级)</w:t>
            </w:r>
          </w:p>
          <w:p w14:paraId="2450DD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(含等保咨询服务)</w:t>
            </w:r>
          </w:p>
        </w:tc>
        <w:tc>
          <w:tcPr>
            <w:tcW w:w="4686" w:type="dxa"/>
            <w:tcBorders>
              <w:tl2br w:val="nil"/>
              <w:tr2bl w:val="nil"/>
            </w:tcBorders>
            <w:shd w:val="clear" w:color="auto" w:fill="auto"/>
            <w:vAlign w:val="center"/>
          </w:tcPr>
          <w:p w14:paraId="7C9E6F8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等保咨询是一种协助客户建立等级保护体系并通过等保测评的咨询服务。等保咨询服务遵循《信息系统安全等级保护实施指南》协助客户从系统定级、差距评估、方案设计、建设整改、系统测评五个方面进行等保体系的建设，达到符合国家等级保护的基本要求，顺利通过测评中心测评的目标。</w:t>
            </w:r>
          </w:p>
          <w:p w14:paraId="464E045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2、测评机构须依据国家《中华人民共和国计算机信息系统安全保护条例》(国务院 147号令)、《信息安全等级保护管理办法》(公通字[2007]43号)、《信息安全技术网络安全等级保护基本要求GBT22239-2019》、《信息安全技术网络安全等级保护测评要求GBT28448-2019》等法规要求进行信息系统安全等级测评并出具《等级保护测评报告》。</w:t>
            </w:r>
          </w:p>
        </w:tc>
        <w:tc>
          <w:tcPr>
            <w:tcW w:w="1565" w:type="dxa"/>
            <w:tcBorders>
              <w:tl2br w:val="nil"/>
              <w:tr2bl w:val="nil"/>
            </w:tcBorders>
            <w:shd w:val="clear" w:color="auto" w:fill="auto"/>
            <w:vAlign w:val="center"/>
          </w:tcPr>
          <w:p w14:paraId="711D0D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《系统定级备案表》</w:t>
            </w:r>
          </w:p>
          <w:p w14:paraId="5DB9003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《专家评审报告》</w:t>
            </w:r>
          </w:p>
          <w:p w14:paraId="1DE718B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《差距分析报告》</w:t>
            </w:r>
          </w:p>
          <w:p w14:paraId="39D53E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《制度体系》</w:t>
            </w:r>
          </w:p>
          <w:p w14:paraId="28553FB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《整改报告》</w:t>
            </w:r>
          </w:p>
          <w:p w14:paraId="3F7C7F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《等级保护测评报告》</w:t>
            </w:r>
          </w:p>
        </w:tc>
        <w:tc>
          <w:tcPr>
            <w:tcW w:w="1129" w:type="dxa"/>
            <w:tcBorders>
              <w:tl2br w:val="nil"/>
              <w:tr2bl w:val="nil"/>
            </w:tcBorders>
            <w:shd w:val="clear" w:color="auto" w:fill="auto"/>
            <w:noWrap/>
            <w:vAlign w:val="center"/>
          </w:tcPr>
          <w:p w14:paraId="19E5447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p w14:paraId="3516681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1套系统</w:t>
            </w:r>
          </w:p>
        </w:tc>
      </w:tr>
    </w:tbl>
    <w:p w14:paraId="315CA180">
      <w:pPr>
        <w:rPr>
          <w:sz w:val="20"/>
          <w:szCs w:val="22"/>
        </w:rPr>
      </w:pPr>
    </w:p>
    <w:sectPr>
      <w:pgSz w:w="11906" w:h="16838"/>
      <w:pgMar w:top="1417" w:right="1474" w:bottom="1417" w:left="147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4AC8"/>
    <w:rsid w:val="002656A8"/>
    <w:rsid w:val="014D53F8"/>
    <w:rsid w:val="02B94AC8"/>
    <w:rsid w:val="038720C2"/>
    <w:rsid w:val="053B7608"/>
    <w:rsid w:val="072145DC"/>
    <w:rsid w:val="07BF4B63"/>
    <w:rsid w:val="07FC0BA5"/>
    <w:rsid w:val="0BDE5D5B"/>
    <w:rsid w:val="0E9305FA"/>
    <w:rsid w:val="0EED2038"/>
    <w:rsid w:val="102B2027"/>
    <w:rsid w:val="1380268A"/>
    <w:rsid w:val="14F00EAE"/>
    <w:rsid w:val="16257519"/>
    <w:rsid w:val="1B373F76"/>
    <w:rsid w:val="1FA85442"/>
    <w:rsid w:val="209C52E9"/>
    <w:rsid w:val="22D64075"/>
    <w:rsid w:val="23681268"/>
    <w:rsid w:val="28844573"/>
    <w:rsid w:val="2A946CEF"/>
    <w:rsid w:val="36EC1C61"/>
    <w:rsid w:val="4268772F"/>
    <w:rsid w:val="46D354BF"/>
    <w:rsid w:val="46E93AC7"/>
    <w:rsid w:val="491D0E8B"/>
    <w:rsid w:val="589C4E3D"/>
    <w:rsid w:val="5FA62A45"/>
    <w:rsid w:val="60017C7C"/>
    <w:rsid w:val="605C331C"/>
    <w:rsid w:val="616C7742"/>
    <w:rsid w:val="62361E5F"/>
    <w:rsid w:val="67E65ED5"/>
    <w:rsid w:val="683909E1"/>
    <w:rsid w:val="6EA87F10"/>
    <w:rsid w:val="789143F5"/>
    <w:rsid w:val="7F90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2360</Words>
  <Characters>2428</Characters>
  <Lines>0</Lines>
  <Paragraphs>0</Paragraphs>
  <TotalTime>7</TotalTime>
  <ScaleCrop>false</ScaleCrop>
  <LinksUpToDate>false</LinksUpToDate>
  <CharactersWithSpaces>2435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2025-10-29T02:52:00Z</dcterms:created>
  <dc:creator>对方正在输入……</dc:creator>
  <cp:lastModifiedBy>对方正在输入……</cp:lastModifiedBy>
  <cp:lastPrinted>2025-11-21T07:33:48Z</cp:lastPrinted>
  <dcterms:modified xsi:type="dcterms:W3CDTF">2025-11-21T07:34:47Z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8743A63D0AD442ACAD394045B048BE87_11</vt:lpwstr>
  </property>
  <property fmtid="{D5CDD505-2E9C-101B-9397-08002B2CF9AE}" pid="4" name="KSOTemplateDocerSaveRecord">
    <vt:lpwstr>eyJoZGlkIjoiODk2MDRmY2VmMzdiYWM3MjNmMDhiN2Y4YzAxMjUzMTUiLCJ1c2VySWQiOiIyNTQ0MTM1ODUifQ==</vt:lpwstr>
  </property>
</Properties>
</file>